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3247CE">
        <w:rPr>
          <w:b/>
          <w:color w:val="17365D" w:themeColor="text2" w:themeShade="BF"/>
          <w:sz w:val="28"/>
          <w:szCs w:val="28"/>
        </w:rPr>
        <w:t>2</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6B3DED">
        <w:trPr>
          <w:trHeight w:val="401"/>
        </w:trPr>
        <w:tc>
          <w:tcPr>
            <w:tcW w:w="2660" w:type="dxa"/>
            <w:vAlign w:val="center"/>
          </w:tcPr>
          <w:p w:rsidR="001D351E" w:rsidRPr="008117D3" w:rsidRDefault="003247CE" w:rsidP="00C010C4">
            <w:pPr>
              <w:jc w:val="center"/>
              <w:rPr>
                <w:sz w:val="20"/>
                <w:szCs w:val="20"/>
              </w:rPr>
            </w:pPr>
            <w:r>
              <w:rPr>
                <w:sz w:val="20"/>
                <w:szCs w:val="20"/>
              </w:rPr>
              <w:t>Number &amp; Place Value</w:t>
            </w:r>
          </w:p>
        </w:tc>
        <w:tc>
          <w:tcPr>
            <w:tcW w:w="12899" w:type="dxa"/>
            <w:vAlign w:val="center"/>
          </w:tcPr>
          <w:p w:rsidR="001D351E" w:rsidRPr="001C1396" w:rsidRDefault="00951848" w:rsidP="00DE55DA">
            <w:pPr>
              <w:rPr>
                <w:b/>
                <w:i/>
                <w:sz w:val="18"/>
                <w:szCs w:val="18"/>
              </w:rPr>
            </w:pPr>
            <w:hyperlink r:id="rId11" w:tooltip="Elaborations: 1) developing fluency and confidence with numbers and calculations by saying number sequences, 2) recognising patterns in number sequences, such as adding 10 always results in the same final digit" w:history="1">
              <w:r w:rsidR="003247CE" w:rsidRPr="001C1396">
                <w:rPr>
                  <w:rStyle w:val="Hyperlink"/>
                  <w:rFonts w:ascii="Helvetica" w:hAnsi="Helvetica" w:cs="Helvetica"/>
                  <w:color w:val="auto"/>
                  <w:sz w:val="20"/>
                  <w:szCs w:val="20"/>
                  <w:u w:val="none"/>
                  <w:shd w:val="clear" w:color="auto" w:fill="FFFFFF"/>
                </w:rPr>
                <w:t xml:space="preserve">Investigate number sequences, initially those increasing and decreasing by twos, threes, </w:t>
              </w:r>
              <w:proofErr w:type="spellStart"/>
              <w:r w:rsidR="003247CE" w:rsidRPr="001C1396">
                <w:rPr>
                  <w:rStyle w:val="Hyperlink"/>
                  <w:rFonts w:ascii="Helvetica" w:hAnsi="Helvetica" w:cs="Helvetica"/>
                  <w:color w:val="auto"/>
                  <w:sz w:val="20"/>
                  <w:szCs w:val="20"/>
                  <w:u w:val="none"/>
                  <w:shd w:val="clear" w:color="auto" w:fill="FFFFFF"/>
                </w:rPr>
                <w:t>fives</w:t>
              </w:r>
              <w:proofErr w:type="spellEnd"/>
              <w:r w:rsidR="003247CE" w:rsidRPr="001C1396">
                <w:rPr>
                  <w:rStyle w:val="Hyperlink"/>
                  <w:rFonts w:ascii="Helvetica" w:hAnsi="Helvetica" w:cs="Helvetica"/>
                  <w:color w:val="auto"/>
                  <w:sz w:val="20"/>
                  <w:szCs w:val="20"/>
                  <w:u w:val="none"/>
                  <w:shd w:val="clear" w:color="auto" w:fill="FFFFFF"/>
                </w:rPr>
                <w:t xml:space="preserve"> and ten from any starting point, then moving to other sequences.(ACMNA026)</w:t>
              </w:r>
            </w:hyperlink>
          </w:p>
        </w:tc>
        <w:tc>
          <w:tcPr>
            <w:tcW w:w="2552" w:type="dxa"/>
          </w:tcPr>
          <w:p w:rsidR="001D351E" w:rsidRDefault="00951848" w:rsidP="00C010C4">
            <w:pPr>
              <w:jc w:val="center"/>
            </w:pPr>
            <w:hyperlink r:id="rId12" w:history="1">
              <w:r w:rsidR="00B77E56" w:rsidRPr="00764D46">
                <w:rPr>
                  <w:rStyle w:val="Hyperlink"/>
                  <w:rFonts w:cstheme="minorHAnsi"/>
                  <w:b/>
                  <w:i/>
                  <w:color w:val="00B050"/>
                  <w:sz w:val="18"/>
                  <w:szCs w:val="18"/>
                </w:rPr>
                <w:t>TIMESNA01</w:t>
              </w:r>
            </w:hyperlink>
          </w:p>
        </w:tc>
        <w:tc>
          <w:tcPr>
            <w:tcW w:w="1339"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1C1396" w:rsidRDefault="00951848" w:rsidP="00DE55DA">
            <w:pPr>
              <w:rPr>
                <w:sz w:val="18"/>
                <w:szCs w:val="18"/>
              </w:rPr>
            </w:pPr>
            <w:hyperlink r:id="rId13" w:tooltip="Elaborations: 1) recognising there are different ways of representing numbers and identifying patterns going beyond 100, 2) developing fluency with writing numbers in meaningful contexts" w:history="1">
              <w:r w:rsidR="003247CE" w:rsidRPr="001C1396">
                <w:rPr>
                  <w:rStyle w:val="Hyperlink"/>
                  <w:rFonts w:ascii="Helvetica" w:hAnsi="Helvetica" w:cs="Helvetica"/>
                  <w:color w:val="auto"/>
                  <w:sz w:val="20"/>
                  <w:szCs w:val="20"/>
                  <w:u w:val="none"/>
                  <w:shd w:val="clear" w:color="auto" w:fill="FFFFFF"/>
                </w:rPr>
                <w:t>Recognise, model, represent and order numbers to at least 1000 (ACMNA027)</w:t>
              </w:r>
            </w:hyperlink>
          </w:p>
        </w:tc>
        <w:tc>
          <w:tcPr>
            <w:tcW w:w="2552" w:type="dxa"/>
          </w:tcPr>
          <w:p w:rsidR="001D351E" w:rsidRDefault="00951848" w:rsidP="00C010C4">
            <w:pPr>
              <w:jc w:val="center"/>
            </w:pPr>
            <w:hyperlink r:id="rId14" w:history="1">
              <w:r w:rsidR="00B77E56" w:rsidRPr="00764D46">
                <w:rPr>
                  <w:rStyle w:val="Hyperlink"/>
                  <w:rFonts w:cstheme="minorHAnsi"/>
                  <w:b/>
                  <w:i/>
                  <w:color w:val="00B050"/>
                  <w:sz w:val="18"/>
                  <w:szCs w:val="18"/>
                </w:rPr>
                <w:t>TIMESNA01</w:t>
              </w:r>
            </w:hyperlink>
          </w:p>
        </w:tc>
        <w:tc>
          <w:tcPr>
            <w:tcW w:w="1339" w:type="dxa"/>
          </w:tcPr>
          <w:p w:rsidR="001D351E" w:rsidRDefault="001D351E" w:rsidP="00C010C4">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1C1396" w:rsidRDefault="00951848" w:rsidP="00DE55DA">
            <w:pPr>
              <w:rPr>
                <w:b/>
                <w:i/>
                <w:sz w:val="18"/>
                <w:szCs w:val="18"/>
              </w:rPr>
            </w:pPr>
            <w:hyperlink r:id="rId15" w:tooltip="Elaborations: 1) use an abacus to model &amp; represent numbers, 2) u'stand 3-digit numbers as comprised of hundreds, tens &amp; ones/units, 3) demonstrating and using models such as linking blocks, sticks in bundles, place-value blocks &amp; explain reasoning" w:history="1">
              <w:r w:rsidR="003247CE" w:rsidRPr="001C1396">
                <w:rPr>
                  <w:rStyle w:val="Hyperlink"/>
                  <w:rFonts w:ascii="Helvetica" w:hAnsi="Helvetica" w:cs="Helvetica"/>
                  <w:color w:val="auto"/>
                  <w:sz w:val="20"/>
                  <w:szCs w:val="20"/>
                  <w:u w:val="none"/>
                  <w:shd w:val="clear" w:color="auto" w:fill="FFFFFF"/>
                </w:rPr>
                <w:t>Group, partition and rearrange collections up to 1000 in hundreds, tens and ones to facilitate more efficient counting (ACMNA028)</w:t>
              </w:r>
            </w:hyperlink>
          </w:p>
        </w:tc>
        <w:tc>
          <w:tcPr>
            <w:tcW w:w="2552" w:type="dxa"/>
          </w:tcPr>
          <w:p w:rsidR="001D351E" w:rsidRDefault="00951848" w:rsidP="00C010C4">
            <w:pPr>
              <w:jc w:val="center"/>
            </w:pPr>
            <w:hyperlink r:id="rId16" w:history="1">
              <w:r w:rsidR="00B77E56" w:rsidRPr="00764D46">
                <w:rPr>
                  <w:rStyle w:val="Hyperlink"/>
                  <w:rFonts w:cstheme="minorHAnsi"/>
                  <w:b/>
                  <w:i/>
                  <w:color w:val="00B050"/>
                  <w:sz w:val="18"/>
                  <w:szCs w:val="18"/>
                </w:rPr>
                <w:t>TIMESNA01</w:t>
              </w:r>
            </w:hyperlink>
          </w:p>
        </w:tc>
        <w:tc>
          <w:tcPr>
            <w:tcW w:w="1339" w:type="dxa"/>
          </w:tcPr>
          <w:p w:rsidR="001D351E" w:rsidRDefault="001D351E" w:rsidP="00C010C4">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1C1396" w:rsidRDefault="00951848" w:rsidP="00DE55DA">
            <w:pPr>
              <w:rPr>
                <w:sz w:val="18"/>
                <w:szCs w:val="18"/>
              </w:rPr>
            </w:pPr>
            <w:hyperlink r:id="rId17" w:tooltip="Elaborations: 1) becoming fluent with partitioning numbers to understand the connection between addition and subtraction, 2) using counting on to identify the missing element in an additive problem" w:history="1">
              <w:r w:rsidR="003247CE" w:rsidRPr="001C1396">
                <w:rPr>
                  <w:rStyle w:val="Hyperlink"/>
                  <w:rFonts w:ascii="Helvetica" w:hAnsi="Helvetica" w:cs="Helvetica"/>
                  <w:color w:val="auto"/>
                  <w:sz w:val="20"/>
                  <w:szCs w:val="20"/>
                  <w:u w:val="none"/>
                  <w:shd w:val="clear" w:color="auto" w:fill="FFFFFF"/>
                </w:rPr>
                <w:t>Explore the connection between addition and subtraction (ACMNA029)</w:t>
              </w:r>
            </w:hyperlink>
          </w:p>
        </w:tc>
        <w:bookmarkStart w:id="0" w:name="_GoBack"/>
        <w:tc>
          <w:tcPr>
            <w:tcW w:w="2552" w:type="dxa"/>
          </w:tcPr>
          <w:p w:rsidR="001D351E" w:rsidRDefault="003801FB" w:rsidP="00C010C4">
            <w:pPr>
              <w:jc w:val="center"/>
            </w:pPr>
            <w:r>
              <w:fldChar w:fldCharType="begin"/>
            </w:r>
            <w:r>
              <w:instrText>HYPERLINK "http://amsi.org.au/teacher_modules/Addition_and_subtraction.html"</w:instrText>
            </w:r>
            <w:r>
              <w:fldChar w:fldCharType="separate"/>
            </w:r>
            <w:r>
              <w:rPr>
                <w:rStyle w:val="Hyperlink"/>
                <w:rFonts w:cstheme="minorHAnsi"/>
                <w:b/>
                <w:i/>
                <w:color w:val="00B050"/>
                <w:sz w:val="18"/>
                <w:szCs w:val="18"/>
              </w:rPr>
              <w:t>TIMESNAO2</w:t>
            </w:r>
            <w:r>
              <w:rPr>
                <w:rStyle w:val="Hyperlink"/>
                <w:rFonts w:cstheme="minorHAnsi"/>
                <w:b/>
                <w:i/>
                <w:color w:val="00B050"/>
                <w:sz w:val="18"/>
                <w:szCs w:val="18"/>
              </w:rPr>
              <w:fldChar w:fldCharType="end"/>
            </w:r>
            <w:bookmarkEnd w:id="0"/>
          </w:p>
        </w:tc>
        <w:tc>
          <w:tcPr>
            <w:tcW w:w="1339" w:type="dxa"/>
          </w:tcPr>
          <w:p w:rsidR="001D351E" w:rsidRDefault="001D351E" w:rsidP="00C010C4">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1C1396" w:rsidRDefault="00951848" w:rsidP="00DE55DA">
            <w:pPr>
              <w:rPr>
                <w:rFonts w:eastAsia="HelveticaNeueLTStd-Lt-Identity-" w:cstheme="minorHAnsi"/>
                <w:b/>
                <w:i/>
                <w:sz w:val="18"/>
                <w:szCs w:val="18"/>
              </w:rPr>
            </w:pPr>
            <w:hyperlink r:id="rId18" w:tooltip="Elaborations: 1) become fluent w range of mental strategies for add'n &amp; subtract'n probs, such as commutativity for add'n, building to 10, doubles, 10 facts &amp; adding 10, 2) model &amp; represent simple additive sit'ns using materials-10 frames, empty no. lines" w:history="1">
              <w:r w:rsidR="003247CE" w:rsidRPr="001C1396">
                <w:rPr>
                  <w:rStyle w:val="Hyperlink"/>
                  <w:rFonts w:ascii="Helvetica" w:hAnsi="Helvetica" w:cs="Helvetica"/>
                  <w:color w:val="auto"/>
                  <w:sz w:val="20"/>
                  <w:szCs w:val="20"/>
                  <w:u w:val="none"/>
                  <w:shd w:val="clear" w:color="auto" w:fill="FFFFFF"/>
                </w:rPr>
                <w:t>Solve simple addition and subtraction problems using a range of efficient mental and written strategies (ACMNA030)</w:t>
              </w:r>
            </w:hyperlink>
          </w:p>
        </w:tc>
        <w:tc>
          <w:tcPr>
            <w:tcW w:w="2552" w:type="dxa"/>
          </w:tcPr>
          <w:p w:rsidR="001D351E" w:rsidRDefault="003801FB" w:rsidP="00C010C4">
            <w:pPr>
              <w:jc w:val="center"/>
            </w:pPr>
            <w:hyperlink r:id="rId19" w:history="1">
              <w:r>
                <w:rPr>
                  <w:rStyle w:val="Hyperlink"/>
                  <w:rFonts w:cstheme="minorHAnsi"/>
                  <w:b/>
                  <w:i/>
                  <w:color w:val="00B050"/>
                  <w:sz w:val="18"/>
                  <w:szCs w:val="18"/>
                </w:rPr>
                <w:t>TIMESNAO2</w:t>
              </w:r>
            </w:hyperlink>
          </w:p>
        </w:tc>
        <w:tc>
          <w:tcPr>
            <w:tcW w:w="1339" w:type="dxa"/>
          </w:tcPr>
          <w:p w:rsidR="001D351E" w:rsidRDefault="001D351E" w:rsidP="00C010C4">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1C1396" w:rsidRDefault="00951848" w:rsidP="00DE55DA">
            <w:pPr>
              <w:rPr>
                <w:rFonts w:eastAsia="HelveticaNeueLTStd-Lt-Identity-" w:cstheme="minorHAnsi"/>
                <w:b/>
                <w:i/>
                <w:sz w:val="18"/>
                <w:szCs w:val="18"/>
              </w:rPr>
            </w:pPr>
            <w:hyperlink r:id="rId20" w:tooltip="Elaborations: 1) representing array problems with available materials and explaining reasoning, 2) visualising a group of objects as a unit and using this to calculate the number of objects in several identical groups" w:history="1">
              <w:r w:rsidR="003247CE" w:rsidRPr="001C1396">
                <w:rPr>
                  <w:rStyle w:val="Hyperlink"/>
                  <w:rFonts w:ascii="Helvetica" w:hAnsi="Helvetica" w:cs="Helvetica"/>
                  <w:color w:val="auto"/>
                  <w:sz w:val="20"/>
                  <w:szCs w:val="20"/>
                  <w:u w:val="none"/>
                  <w:shd w:val="clear" w:color="auto" w:fill="FFFFFF"/>
                </w:rPr>
                <w:t>Recognise and represent multiplication as repeated addition, groups and arrays(ACMNA031)</w:t>
              </w:r>
            </w:hyperlink>
          </w:p>
        </w:tc>
        <w:tc>
          <w:tcPr>
            <w:tcW w:w="2552" w:type="dxa"/>
          </w:tcPr>
          <w:p w:rsidR="001D351E" w:rsidRDefault="00951848" w:rsidP="00B77E56">
            <w:pPr>
              <w:jc w:val="center"/>
            </w:pPr>
            <w:hyperlink r:id="rId21" w:history="1">
              <w:r w:rsidR="00B77E56" w:rsidRPr="00725CCE">
                <w:rPr>
                  <w:rStyle w:val="Hyperlink"/>
                  <w:rFonts w:eastAsia="HelveticaNeueLTStd-Lt-Identity-" w:cstheme="minorHAnsi"/>
                  <w:b/>
                  <w:i/>
                  <w:color w:val="00B050"/>
                  <w:sz w:val="18"/>
                  <w:szCs w:val="18"/>
                </w:rPr>
                <w:t>TIMESNA03</w:t>
              </w:r>
            </w:hyperlink>
          </w:p>
        </w:tc>
        <w:tc>
          <w:tcPr>
            <w:tcW w:w="1339" w:type="dxa"/>
          </w:tcPr>
          <w:p w:rsidR="001D351E" w:rsidRDefault="001D351E" w:rsidP="00C010C4">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1C1396" w:rsidRDefault="00951848" w:rsidP="00DE55DA">
            <w:pPr>
              <w:rPr>
                <w:rFonts w:eastAsia="HelveticaNeueLTStd-Lt-Identity-" w:cstheme="minorHAnsi"/>
                <w:b/>
                <w:i/>
                <w:sz w:val="18"/>
                <w:szCs w:val="18"/>
              </w:rPr>
            </w:pPr>
            <w:hyperlink r:id="rId22" w:tooltip="Elaboratoins: 1) representing array problems with available materials and explaining reasoning, 2) visualising a group of objects as a unit and using this to calculate the number of objects in several identical groups" w:history="1">
              <w:r w:rsidR="003247CE" w:rsidRPr="001C1396">
                <w:rPr>
                  <w:rStyle w:val="Hyperlink"/>
                  <w:rFonts w:ascii="Helvetica" w:hAnsi="Helvetica" w:cs="Helvetica"/>
                  <w:color w:val="auto"/>
                  <w:sz w:val="20"/>
                  <w:szCs w:val="20"/>
                  <w:u w:val="none"/>
                  <w:shd w:val="clear" w:color="auto" w:fill="FFFFFF"/>
                </w:rPr>
                <w:t>Recognise and represent division as grouping into equal sets and solve simple problems using these representations (ACMNA032)</w:t>
              </w:r>
            </w:hyperlink>
          </w:p>
        </w:tc>
        <w:tc>
          <w:tcPr>
            <w:tcW w:w="2552" w:type="dxa"/>
          </w:tcPr>
          <w:p w:rsidR="001D351E" w:rsidRDefault="00314156" w:rsidP="001D351E">
            <w:pPr>
              <w:jc w:val="center"/>
            </w:pPr>
            <w:hyperlink r:id="rId23" w:history="1">
              <w:r w:rsidRPr="00725CCE">
                <w:rPr>
                  <w:rStyle w:val="Hyperlink"/>
                  <w:rFonts w:eastAsia="HelveticaNeueLTStd-Lt-Identity-" w:cstheme="minorHAnsi"/>
                  <w:b/>
                  <w:i/>
                  <w:color w:val="00B050"/>
                  <w:sz w:val="18"/>
                  <w:szCs w:val="18"/>
                </w:rPr>
                <w:t>TIMESNA03</w:t>
              </w:r>
            </w:hyperlink>
          </w:p>
        </w:tc>
        <w:tc>
          <w:tcPr>
            <w:tcW w:w="1339" w:type="dxa"/>
          </w:tcPr>
          <w:p w:rsidR="001D351E" w:rsidRDefault="001D351E" w:rsidP="00C010C4">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3247CE" w:rsidP="00C010C4">
            <w:pPr>
              <w:jc w:val="center"/>
              <w:rPr>
                <w:sz w:val="20"/>
                <w:szCs w:val="20"/>
              </w:rPr>
            </w:pPr>
            <w:r>
              <w:rPr>
                <w:sz w:val="20"/>
                <w:szCs w:val="20"/>
              </w:rPr>
              <w:t>Fractions &amp; Decimals</w:t>
            </w:r>
          </w:p>
        </w:tc>
        <w:tc>
          <w:tcPr>
            <w:tcW w:w="12899" w:type="dxa"/>
            <w:vAlign w:val="center"/>
          </w:tcPr>
          <w:p w:rsidR="001D351E" w:rsidRPr="001C1396" w:rsidRDefault="00951848" w:rsidP="00DE55DA">
            <w:pPr>
              <w:rPr>
                <w:rFonts w:eastAsia="HelveticaNeueLTStd-Lt-Identity-" w:cstheme="minorHAnsi"/>
                <w:b/>
                <w:i/>
                <w:sz w:val="18"/>
                <w:szCs w:val="18"/>
              </w:rPr>
            </w:pPr>
            <w:hyperlink r:id="rId24" w:tooltip="Elaborations: 1) recognising that sets of objects can be partitioned in different ways to demonstrate fractions, 2) relating the number of parts to the size of a fraction" w:history="1">
              <w:r w:rsidR="003247CE" w:rsidRPr="001C1396">
                <w:rPr>
                  <w:rStyle w:val="Hyperlink"/>
                  <w:rFonts w:ascii="Helvetica" w:hAnsi="Helvetica" w:cs="Helvetica"/>
                  <w:color w:val="auto"/>
                  <w:sz w:val="20"/>
                  <w:szCs w:val="20"/>
                  <w:u w:val="none"/>
                  <w:shd w:val="clear" w:color="auto" w:fill="FFFFFF"/>
                </w:rPr>
                <w:t>Recognise and interpret common uses of halves, quarters and eighths of shapes and collections (ACMNA033)</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3247CE" w:rsidP="00C010C4">
            <w:pPr>
              <w:jc w:val="center"/>
              <w:rPr>
                <w:sz w:val="20"/>
                <w:szCs w:val="20"/>
              </w:rPr>
            </w:pPr>
            <w:r>
              <w:rPr>
                <w:sz w:val="20"/>
                <w:szCs w:val="20"/>
              </w:rPr>
              <w:t>Money &amp; Financial Maths</w:t>
            </w:r>
          </w:p>
        </w:tc>
        <w:tc>
          <w:tcPr>
            <w:tcW w:w="12899" w:type="dxa"/>
            <w:vAlign w:val="center"/>
          </w:tcPr>
          <w:p w:rsidR="001D351E" w:rsidRPr="001C1396" w:rsidRDefault="00951848" w:rsidP="00DE55DA">
            <w:pPr>
              <w:autoSpaceDE w:val="0"/>
              <w:autoSpaceDN w:val="0"/>
              <w:adjustRightInd w:val="0"/>
              <w:rPr>
                <w:rFonts w:eastAsia="HelveticaNeueLTStd-Lt-Identity-" w:cstheme="minorHAnsi"/>
                <w:b/>
                <w:i/>
                <w:sz w:val="18"/>
                <w:szCs w:val="18"/>
              </w:rPr>
            </w:pPr>
            <w:hyperlink r:id="rId25" w:tooltip="Elaborations: 1) identifying equivalent values in collections of coins or notes, such as two five-cent coins having the same value as one 10-cent coin, 2) counting collections of coins or notes to make up a particular value, such as that shown on a price t" w:history="1">
              <w:r w:rsidR="003247CE" w:rsidRPr="001C1396">
                <w:rPr>
                  <w:rStyle w:val="Hyperlink"/>
                  <w:rFonts w:ascii="Helvetica" w:hAnsi="Helvetica" w:cs="Helvetica"/>
                  <w:color w:val="auto"/>
                  <w:sz w:val="20"/>
                  <w:szCs w:val="20"/>
                  <w:u w:val="none"/>
                  <w:shd w:val="clear" w:color="auto" w:fill="FFFFFF"/>
                </w:rPr>
                <w:t>Count and order small collections of Australian coins and notes according to their value(ACMNA034)</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3247CE" w:rsidP="00C010C4">
            <w:pPr>
              <w:jc w:val="center"/>
              <w:rPr>
                <w:sz w:val="20"/>
                <w:szCs w:val="20"/>
              </w:rPr>
            </w:pPr>
            <w:r>
              <w:rPr>
                <w:sz w:val="20"/>
                <w:szCs w:val="20"/>
              </w:rPr>
              <w:t>Patterns &amp; Algebra</w:t>
            </w:r>
          </w:p>
        </w:tc>
        <w:tc>
          <w:tcPr>
            <w:tcW w:w="12899" w:type="dxa"/>
            <w:vAlign w:val="center"/>
          </w:tcPr>
          <w:p w:rsidR="001D351E" w:rsidRPr="001C1396" w:rsidRDefault="00951848" w:rsidP="00DE55DA">
            <w:pPr>
              <w:autoSpaceDE w:val="0"/>
              <w:autoSpaceDN w:val="0"/>
              <w:adjustRightInd w:val="0"/>
              <w:rPr>
                <w:rFonts w:eastAsia="HelveticaNeueLTStd-Lt-Identity-" w:cstheme="minorHAnsi"/>
                <w:b/>
                <w:i/>
                <w:sz w:val="18"/>
                <w:szCs w:val="18"/>
              </w:rPr>
            </w:pPr>
            <w:hyperlink r:id="rId26" w:tooltip="Elaborations: 1) describing a pattern created by skip counting and representing the pattern on a number line, 2) investigating features of number patterns resulting from adding twos, fives or 10s" w:history="1">
              <w:r w:rsidR="003247CE" w:rsidRPr="001C1396">
                <w:rPr>
                  <w:rStyle w:val="Hyperlink"/>
                  <w:rFonts w:ascii="Helvetica" w:hAnsi="Helvetica" w:cs="Helvetica"/>
                  <w:color w:val="auto"/>
                  <w:sz w:val="20"/>
                  <w:szCs w:val="20"/>
                  <w:u w:val="none"/>
                  <w:shd w:val="clear" w:color="auto" w:fill="FFFFFF"/>
                </w:rPr>
                <w:t>Describe patterns with numbers and identify missing elements (ACMNA035)</w:t>
              </w:r>
            </w:hyperlink>
          </w:p>
        </w:tc>
        <w:tc>
          <w:tcPr>
            <w:tcW w:w="2552" w:type="dxa"/>
          </w:tcPr>
          <w:p w:rsidR="001D351E" w:rsidRDefault="001D351E" w:rsidP="001D351E">
            <w:pPr>
              <w:jc w:val="center"/>
            </w:pPr>
          </w:p>
        </w:tc>
        <w:tc>
          <w:tcPr>
            <w:tcW w:w="1339" w:type="dxa"/>
          </w:tcPr>
          <w:p w:rsidR="001D351E" w:rsidRDefault="001D351E" w:rsidP="00C010C4">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1C1396" w:rsidRDefault="00951848" w:rsidP="00DE55DA">
            <w:pPr>
              <w:autoSpaceDE w:val="0"/>
              <w:autoSpaceDN w:val="0"/>
              <w:adjustRightInd w:val="0"/>
              <w:rPr>
                <w:rFonts w:eastAsia="HelveticaNeueLTStd-Lt-Identity-" w:cstheme="minorHAnsi"/>
                <w:b/>
                <w:i/>
                <w:sz w:val="18"/>
                <w:szCs w:val="18"/>
              </w:rPr>
            </w:pPr>
            <w:hyperlink r:id="rId27" w:tooltip="Elaborations: 1) representing a word problem as a number sentence, 2) writing a word problem to represent a number sentence" w:history="1">
              <w:r w:rsidR="003247CE" w:rsidRPr="001C1396">
                <w:rPr>
                  <w:rStyle w:val="Hyperlink"/>
                  <w:rFonts w:ascii="Helvetica" w:hAnsi="Helvetica" w:cs="Helvetica"/>
                  <w:color w:val="auto"/>
                  <w:sz w:val="20"/>
                  <w:szCs w:val="20"/>
                  <w:u w:val="none"/>
                  <w:shd w:val="clear" w:color="auto" w:fill="FFFFFF"/>
                </w:rPr>
                <w:t>Solve problems by using number sentences for addition or subtraction (ACMNA036)</w:t>
              </w:r>
            </w:hyperlink>
          </w:p>
        </w:tc>
        <w:tc>
          <w:tcPr>
            <w:tcW w:w="2552" w:type="dxa"/>
          </w:tcPr>
          <w:p w:rsidR="001D351E" w:rsidRDefault="001D351E" w:rsidP="00523CF9">
            <w:pPr>
              <w:jc w:val="center"/>
            </w:pPr>
          </w:p>
        </w:tc>
        <w:tc>
          <w:tcPr>
            <w:tcW w:w="1339" w:type="dxa"/>
          </w:tcPr>
          <w:p w:rsidR="001D351E" w:rsidRDefault="001D351E" w:rsidP="00C010C4">
            <w:pPr>
              <w:jc w:val="center"/>
            </w:pPr>
          </w:p>
        </w:tc>
        <w:sdt>
          <w:sdtPr>
            <w:id w:val="-700391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5688483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40059568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1419243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rPr>
          <w:trHeight w:val="280"/>
        </w:trPr>
        <w:tc>
          <w:tcPr>
            <w:tcW w:w="15559" w:type="dxa"/>
            <w:gridSpan w:val="2"/>
            <w:shd w:val="clear" w:color="auto" w:fill="D99594" w:themeFill="accent2" w:themeFillTint="99"/>
            <w:vAlign w:val="center"/>
          </w:tcPr>
          <w:p w:rsidR="001D351E" w:rsidRPr="008117D3" w:rsidRDefault="001D351E" w:rsidP="006A023E">
            <w:pPr>
              <w:jc w:val="center"/>
              <w:rPr>
                <w:b/>
                <w:sz w:val="28"/>
                <w:szCs w:val="28"/>
              </w:rPr>
            </w:pPr>
            <w:r>
              <w:rPr>
                <w:b/>
                <w:sz w:val="28"/>
                <w:szCs w:val="28"/>
              </w:rPr>
              <w:t>MEASUREMENT AND GEOMETRY</w:t>
            </w:r>
          </w:p>
        </w:tc>
        <w:tc>
          <w:tcPr>
            <w:tcW w:w="2552" w:type="dxa"/>
            <w:shd w:val="clear" w:color="auto" w:fill="D99594" w:themeFill="accent2" w:themeFillTint="99"/>
          </w:tcPr>
          <w:p w:rsidR="001D351E" w:rsidRDefault="001D351E" w:rsidP="00C010C4">
            <w:pPr>
              <w:jc w:val="center"/>
              <w:rPr>
                <w:b/>
              </w:rPr>
            </w:pPr>
          </w:p>
        </w:tc>
        <w:tc>
          <w:tcPr>
            <w:tcW w:w="1339" w:type="dxa"/>
            <w:shd w:val="clear" w:color="auto" w:fill="D99594" w:themeFill="accent2" w:themeFillTint="99"/>
          </w:tcPr>
          <w:p w:rsidR="001D351E"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3"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r>
      <w:tr w:rsidR="001D351E" w:rsidTr="006B3DED">
        <w:tc>
          <w:tcPr>
            <w:tcW w:w="2660" w:type="dxa"/>
            <w:vAlign w:val="center"/>
          </w:tcPr>
          <w:p w:rsidR="001D351E" w:rsidRPr="00647AB6" w:rsidRDefault="00C959DD" w:rsidP="00C010C4">
            <w:pPr>
              <w:jc w:val="center"/>
              <w:rPr>
                <w:sz w:val="20"/>
                <w:szCs w:val="20"/>
              </w:rPr>
            </w:pPr>
            <w:r>
              <w:rPr>
                <w:sz w:val="20"/>
                <w:szCs w:val="20"/>
              </w:rPr>
              <w:t>Using Units of Measurement</w:t>
            </w:r>
          </w:p>
        </w:tc>
        <w:tc>
          <w:tcPr>
            <w:tcW w:w="12899" w:type="dxa"/>
            <w:vAlign w:val="center"/>
          </w:tcPr>
          <w:p w:rsidR="00C959DD" w:rsidRPr="00C959DD" w:rsidRDefault="00951848" w:rsidP="00DE55DA">
            <w:pPr>
              <w:rPr>
                <w:rFonts w:ascii="Helvetica" w:hAnsi="Helvetica" w:cs="Helvetica"/>
                <w:sz w:val="20"/>
                <w:szCs w:val="20"/>
                <w:shd w:val="clear" w:color="auto" w:fill="FFFFFF"/>
              </w:rPr>
            </w:pPr>
            <w:hyperlink r:id="rId28" w:tooltip="Elaborations: 1) comparing lengths using finger length, hand span or a piece of string, 2) comparing areas using the palm of the hand or a stone, 3) comparing capacities using a range of containers" w:history="1">
              <w:r w:rsidR="00C959DD" w:rsidRPr="00C959DD">
                <w:rPr>
                  <w:rStyle w:val="Hyperlink"/>
                  <w:rFonts w:ascii="Helvetica" w:hAnsi="Helvetica" w:cs="Helvetica"/>
                  <w:color w:val="auto"/>
                  <w:sz w:val="20"/>
                  <w:szCs w:val="20"/>
                  <w:u w:val="none"/>
                  <w:shd w:val="clear" w:color="auto" w:fill="FFFFFF"/>
                </w:rPr>
                <w:t>Compare and order several shapes and objects based on length, area, volume and capacity using appropriate uniform informal units (ACMMG037)</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C010C4">
            <w:pPr>
              <w:jc w:val="center"/>
              <w:rPr>
                <w:sz w:val="20"/>
                <w:szCs w:val="20"/>
              </w:rPr>
            </w:pPr>
          </w:p>
        </w:tc>
        <w:tc>
          <w:tcPr>
            <w:tcW w:w="12899" w:type="dxa"/>
            <w:vAlign w:val="center"/>
          </w:tcPr>
          <w:p w:rsidR="001D351E" w:rsidRPr="00C959DD" w:rsidRDefault="00951848" w:rsidP="00DE55DA">
            <w:pPr>
              <w:rPr>
                <w:rFonts w:ascii="Calibri" w:eastAsia="Calibri" w:hAnsi="Calibri" w:cs="Times New Roman"/>
                <w:sz w:val="18"/>
                <w:szCs w:val="18"/>
                <w:lang w:val="en-US"/>
              </w:rPr>
            </w:pPr>
            <w:hyperlink r:id="rId29" w:tooltip="Elaborations: using balance scales to determine whether the mass of different objects is more, less or about the same, or to find out how many marbles are needed to balance a tub of margarine or a carton of milk" w:history="1">
              <w:r w:rsidR="00C959DD" w:rsidRPr="00C959DD">
                <w:rPr>
                  <w:rStyle w:val="Hyperlink"/>
                  <w:rFonts w:ascii="Helvetica" w:hAnsi="Helvetica" w:cs="Helvetica"/>
                  <w:color w:val="auto"/>
                  <w:sz w:val="20"/>
                  <w:szCs w:val="20"/>
                  <w:u w:val="none"/>
                  <w:shd w:val="clear" w:color="auto" w:fill="FFFFFF"/>
                </w:rPr>
                <w:t>Compare masses of objects using balance scales (ACMMG038)</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c>
          <w:tcPr>
            <w:tcW w:w="704" w:type="dxa"/>
            <w:vAlign w:val="center"/>
          </w:tcPr>
          <w:p w:rsidR="001D351E" w:rsidRDefault="00951848" w:rsidP="00C010C4">
            <w:pPr>
              <w:jc w:val="center"/>
            </w:pPr>
            <w:sdt>
              <w:sdtPr>
                <w:id w:val="2012030301"/>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Pr="00647AB6" w:rsidRDefault="001D351E" w:rsidP="006A023E">
            <w:pPr>
              <w:jc w:val="center"/>
              <w:rPr>
                <w:sz w:val="20"/>
                <w:szCs w:val="20"/>
              </w:rPr>
            </w:pPr>
          </w:p>
        </w:tc>
        <w:tc>
          <w:tcPr>
            <w:tcW w:w="12899" w:type="dxa"/>
            <w:vAlign w:val="center"/>
          </w:tcPr>
          <w:p w:rsidR="001D351E" w:rsidRPr="00C959DD" w:rsidRDefault="00951848" w:rsidP="00DE55DA">
            <w:pPr>
              <w:rPr>
                <w:sz w:val="18"/>
                <w:szCs w:val="18"/>
              </w:rPr>
            </w:pPr>
            <w:hyperlink r:id="rId30" w:tooltip="Elaborations: describing the characteristics of quarter-past times on an analogue clock, and identifying that the small hand is pointing just past the number and the big hand is pointing to the three" w:history="1">
              <w:r w:rsidR="00C959DD" w:rsidRPr="00C959DD">
                <w:rPr>
                  <w:rStyle w:val="Hyperlink"/>
                  <w:rFonts w:ascii="Helvetica" w:hAnsi="Helvetica" w:cs="Helvetica"/>
                  <w:color w:val="auto"/>
                  <w:sz w:val="20"/>
                  <w:szCs w:val="20"/>
                  <w:u w:val="none"/>
                  <w:shd w:val="clear" w:color="auto" w:fill="FFFFFF"/>
                </w:rPr>
                <w:t>Tell time to the quarter-hour, using the language of 'past' and 'to' (ACMMG039)</w:t>
              </w:r>
            </w:hyperlink>
          </w:p>
        </w:tc>
        <w:tc>
          <w:tcPr>
            <w:tcW w:w="2552" w:type="dxa"/>
          </w:tcPr>
          <w:p w:rsidR="001D351E" w:rsidRDefault="00951848" w:rsidP="006A023E">
            <w:pPr>
              <w:jc w:val="center"/>
            </w:pPr>
            <w:hyperlink r:id="rId31" w:history="1">
              <w:r w:rsidR="00B77E56" w:rsidRPr="00725CCE">
                <w:rPr>
                  <w:rStyle w:val="Hyperlink"/>
                  <w:rFonts w:cstheme="minorHAnsi"/>
                  <w:b/>
                  <w:i/>
                  <w:color w:val="00B050"/>
                  <w:sz w:val="18"/>
                  <w:szCs w:val="18"/>
                </w:rPr>
                <w:t>TIMESMG03</w:t>
              </w:r>
            </w:hyperlink>
          </w:p>
        </w:tc>
        <w:tc>
          <w:tcPr>
            <w:tcW w:w="1339" w:type="dxa"/>
          </w:tcPr>
          <w:p w:rsidR="001D351E" w:rsidRDefault="001D351E" w:rsidP="006A023E">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6A023E">
            <w:pPr>
              <w:jc w:val="center"/>
              <w:rPr>
                <w:sz w:val="20"/>
                <w:szCs w:val="20"/>
              </w:rPr>
            </w:pPr>
          </w:p>
        </w:tc>
        <w:tc>
          <w:tcPr>
            <w:tcW w:w="12899" w:type="dxa"/>
            <w:vAlign w:val="center"/>
          </w:tcPr>
          <w:p w:rsidR="001D351E" w:rsidRPr="00C959DD" w:rsidRDefault="00951848" w:rsidP="00DE55DA">
            <w:pPr>
              <w:rPr>
                <w:sz w:val="18"/>
                <w:szCs w:val="18"/>
              </w:rPr>
            </w:pPr>
            <w:hyperlink r:id="rId32" w:tooltip="Elaborations: investigating the seasons used by Aboriginal people, comparing them to those used in Western society and recognising the connection to weather patterns." w:history="1">
              <w:r w:rsidR="00C959DD" w:rsidRPr="00C959DD">
                <w:rPr>
                  <w:rStyle w:val="Hyperlink"/>
                  <w:rFonts w:ascii="Helvetica" w:hAnsi="Helvetica" w:cs="Helvetica"/>
                  <w:color w:val="auto"/>
                  <w:sz w:val="20"/>
                  <w:szCs w:val="20"/>
                  <w:u w:val="none"/>
                  <w:shd w:val="clear" w:color="auto" w:fill="FFFFFF"/>
                </w:rPr>
                <w:t>Name and order months and seasons (ACMMG040)</w:t>
              </w:r>
            </w:hyperlink>
          </w:p>
        </w:tc>
        <w:tc>
          <w:tcPr>
            <w:tcW w:w="2552" w:type="dxa"/>
          </w:tcPr>
          <w:p w:rsidR="001D351E" w:rsidRDefault="00951848" w:rsidP="006A023E">
            <w:pPr>
              <w:jc w:val="center"/>
            </w:pPr>
            <w:hyperlink r:id="rId33" w:history="1">
              <w:r w:rsidR="00B77E56" w:rsidRPr="00725CCE">
                <w:rPr>
                  <w:rStyle w:val="Hyperlink"/>
                  <w:rFonts w:cstheme="minorHAnsi"/>
                  <w:b/>
                  <w:i/>
                  <w:color w:val="00B050"/>
                  <w:sz w:val="18"/>
                  <w:szCs w:val="18"/>
                </w:rPr>
                <w:t>TIMESMG03</w:t>
              </w:r>
            </w:hyperlink>
          </w:p>
        </w:tc>
        <w:tc>
          <w:tcPr>
            <w:tcW w:w="1339" w:type="dxa"/>
          </w:tcPr>
          <w:p w:rsidR="001D351E" w:rsidRDefault="001D351E" w:rsidP="006A023E">
            <w:pPr>
              <w:jc w:val="center"/>
            </w:pPr>
          </w:p>
        </w:tc>
        <w:sdt>
          <w:sdtPr>
            <w:id w:val="162372784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477525">
            <w:pPr>
              <w:jc w:val="center"/>
              <w:rPr>
                <w:sz w:val="20"/>
                <w:szCs w:val="20"/>
              </w:rPr>
            </w:pPr>
          </w:p>
        </w:tc>
        <w:tc>
          <w:tcPr>
            <w:tcW w:w="12899" w:type="dxa"/>
            <w:vAlign w:val="center"/>
          </w:tcPr>
          <w:p w:rsidR="001D351E" w:rsidRPr="00C959DD" w:rsidRDefault="00951848" w:rsidP="00477525">
            <w:hyperlink r:id="rId34" w:tooltip="Elaborations: using calendars to locate specific information, such as finding a given date on a calendar and saying what day it is, and identifying personally or culturally specific days" w:history="1">
              <w:r w:rsidR="00C959DD" w:rsidRPr="00C959DD">
                <w:rPr>
                  <w:rStyle w:val="Hyperlink"/>
                  <w:rFonts w:ascii="Helvetica" w:hAnsi="Helvetica" w:cs="Helvetica"/>
                  <w:color w:val="auto"/>
                  <w:sz w:val="20"/>
                  <w:szCs w:val="20"/>
                  <w:u w:val="none"/>
                  <w:shd w:val="clear" w:color="auto" w:fill="FFFFFF"/>
                </w:rPr>
                <w:t>Use a calendar to identify the date and determine the number of days in each month(ACMMG041)</w:t>
              </w:r>
            </w:hyperlink>
          </w:p>
        </w:tc>
        <w:tc>
          <w:tcPr>
            <w:tcW w:w="2552" w:type="dxa"/>
          </w:tcPr>
          <w:p w:rsidR="001D351E" w:rsidRDefault="00951848" w:rsidP="00477525">
            <w:pPr>
              <w:jc w:val="center"/>
            </w:pPr>
            <w:hyperlink r:id="rId35" w:history="1">
              <w:r w:rsidR="00B77E56" w:rsidRPr="00725CCE">
                <w:rPr>
                  <w:rStyle w:val="Hyperlink"/>
                  <w:rFonts w:cstheme="minorHAnsi"/>
                  <w:b/>
                  <w:i/>
                  <w:color w:val="00B050"/>
                  <w:sz w:val="18"/>
                  <w:szCs w:val="18"/>
                </w:rPr>
                <w:t>TIMESMG03</w:t>
              </w:r>
            </w:hyperlink>
          </w:p>
        </w:tc>
        <w:tc>
          <w:tcPr>
            <w:tcW w:w="1339" w:type="dxa"/>
          </w:tcPr>
          <w:p w:rsidR="001D351E" w:rsidRDefault="001D351E" w:rsidP="00477525">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C959DD" w:rsidP="00477525">
            <w:pPr>
              <w:jc w:val="center"/>
              <w:rPr>
                <w:sz w:val="20"/>
                <w:szCs w:val="20"/>
              </w:rPr>
            </w:pPr>
            <w:r>
              <w:rPr>
                <w:sz w:val="20"/>
                <w:szCs w:val="20"/>
              </w:rPr>
              <w:t>Shape</w:t>
            </w:r>
          </w:p>
        </w:tc>
        <w:tc>
          <w:tcPr>
            <w:tcW w:w="12899" w:type="dxa"/>
            <w:vAlign w:val="center"/>
          </w:tcPr>
          <w:p w:rsidR="001D351E" w:rsidRPr="00C959DD" w:rsidRDefault="00951848" w:rsidP="00477525">
            <w:pPr>
              <w:rPr>
                <w:b/>
                <w:i/>
                <w:sz w:val="18"/>
                <w:szCs w:val="18"/>
              </w:rPr>
            </w:pPr>
            <w:hyperlink r:id="rId36" w:tooltip="Elaborations: identifying key features of squares, rectangles, triangles, kites, rhombuses and circles, such as straight lines or curved lines, and counting the edges and corners" w:history="1">
              <w:r w:rsidR="00C959DD" w:rsidRPr="00C959DD">
                <w:rPr>
                  <w:rStyle w:val="Hyperlink"/>
                  <w:rFonts w:ascii="Helvetica" w:hAnsi="Helvetica" w:cs="Helvetica"/>
                  <w:color w:val="auto"/>
                  <w:sz w:val="20"/>
                  <w:szCs w:val="20"/>
                  <w:u w:val="none"/>
                  <w:shd w:val="clear" w:color="auto" w:fill="FFFFFF"/>
                </w:rPr>
                <w:t>Describe and draw two-dimensional shapes, with and without digital technologies(ACMMG042)</w:t>
              </w:r>
            </w:hyperlink>
          </w:p>
        </w:tc>
        <w:tc>
          <w:tcPr>
            <w:tcW w:w="2552" w:type="dxa"/>
          </w:tcPr>
          <w:p w:rsidR="001D351E" w:rsidRDefault="001D351E" w:rsidP="00477525">
            <w:pPr>
              <w:jc w:val="center"/>
            </w:pPr>
          </w:p>
        </w:tc>
        <w:tc>
          <w:tcPr>
            <w:tcW w:w="1339" w:type="dxa"/>
          </w:tcPr>
          <w:p w:rsidR="001D351E" w:rsidRDefault="001D351E" w:rsidP="00477525">
            <w:pPr>
              <w:jc w:val="center"/>
            </w:pPr>
          </w:p>
        </w:tc>
        <w:sdt>
          <w:sdtPr>
            <w:id w:val="999167950"/>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477525">
            <w:pPr>
              <w:jc w:val="center"/>
              <w:rPr>
                <w:sz w:val="20"/>
                <w:szCs w:val="20"/>
              </w:rPr>
            </w:pPr>
          </w:p>
        </w:tc>
        <w:tc>
          <w:tcPr>
            <w:tcW w:w="12899" w:type="dxa"/>
            <w:vAlign w:val="center"/>
          </w:tcPr>
          <w:p w:rsidR="001D351E" w:rsidRPr="00C959DD" w:rsidRDefault="00951848" w:rsidP="00477525">
            <w:pPr>
              <w:rPr>
                <w:sz w:val="18"/>
                <w:szCs w:val="18"/>
              </w:rPr>
            </w:pPr>
            <w:hyperlink r:id="rId37" w:tooltip="Elaborations: identifying geometric features such as the number of faces, corners or edges" w:history="1">
              <w:r w:rsidR="00C959DD" w:rsidRPr="00C959DD">
                <w:rPr>
                  <w:rStyle w:val="Hyperlink"/>
                  <w:rFonts w:ascii="Helvetica" w:hAnsi="Helvetica" w:cs="Helvetica"/>
                  <w:color w:val="auto"/>
                  <w:sz w:val="20"/>
                  <w:szCs w:val="20"/>
                  <w:u w:val="none"/>
                  <w:shd w:val="clear" w:color="auto" w:fill="FFFFFF"/>
                </w:rPr>
                <w:t>Describe the features of three-dimensional objects (ACMMG043)</w:t>
              </w:r>
            </w:hyperlink>
          </w:p>
        </w:tc>
        <w:tc>
          <w:tcPr>
            <w:tcW w:w="2552" w:type="dxa"/>
          </w:tcPr>
          <w:p w:rsidR="001D351E" w:rsidRDefault="001D351E" w:rsidP="00477525">
            <w:pPr>
              <w:jc w:val="center"/>
            </w:pPr>
          </w:p>
        </w:tc>
        <w:tc>
          <w:tcPr>
            <w:tcW w:w="1339" w:type="dxa"/>
          </w:tcPr>
          <w:p w:rsidR="001D351E" w:rsidRDefault="001D351E" w:rsidP="00477525">
            <w:pPr>
              <w:jc w:val="center"/>
            </w:pPr>
          </w:p>
        </w:tc>
        <w:sdt>
          <w:sdtPr>
            <w:id w:val="1376037426"/>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538118312"/>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384183375"/>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562397362"/>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C959DD" w:rsidP="00477525">
            <w:pPr>
              <w:jc w:val="center"/>
              <w:rPr>
                <w:sz w:val="20"/>
                <w:szCs w:val="20"/>
              </w:rPr>
            </w:pPr>
            <w:r>
              <w:rPr>
                <w:sz w:val="20"/>
                <w:szCs w:val="20"/>
              </w:rPr>
              <w:t>Location &amp; Transformation</w:t>
            </w:r>
          </w:p>
        </w:tc>
        <w:tc>
          <w:tcPr>
            <w:tcW w:w="12899" w:type="dxa"/>
            <w:vAlign w:val="center"/>
          </w:tcPr>
          <w:p w:rsidR="001D351E" w:rsidRPr="00C959DD" w:rsidRDefault="00951848" w:rsidP="00477525">
            <w:pPr>
              <w:rPr>
                <w:sz w:val="18"/>
                <w:szCs w:val="18"/>
              </w:rPr>
            </w:pPr>
            <w:hyperlink r:id="rId38" w:tooltip="Elaboratiions 1) understand we use representations of objects &amp; their positions, such as on maps, to allow us to receive &amp; give directions &amp; describe place, 2) constructing arrangements of objects from a set of directions" w:history="1">
              <w:r w:rsidR="00C959DD" w:rsidRPr="00C959DD">
                <w:rPr>
                  <w:rStyle w:val="Hyperlink"/>
                  <w:rFonts w:ascii="Helvetica" w:hAnsi="Helvetica" w:cs="Helvetica"/>
                  <w:color w:val="auto"/>
                  <w:sz w:val="20"/>
                  <w:szCs w:val="20"/>
                  <w:u w:val="none"/>
                  <w:shd w:val="clear" w:color="auto" w:fill="FFFFFF"/>
                </w:rPr>
                <w:t>Interpret simple maps of familiar locations and identify the relative positions of key features (ACMMG044)</w:t>
              </w:r>
            </w:hyperlink>
          </w:p>
        </w:tc>
        <w:tc>
          <w:tcPr>
            <w:tcW w:w="2552" w:type="dxa"/>
          </w:tcPr>
          <w:p w:rsidR="001D351E" w:rsidRPr="0085578D" w:rsidRDefault="001D351E" w:rsidP="00477525">
            <w:pPr>
              <w:jc w:val="center"/>
              <w:rPr>
                <w:b/>
                <w:i/>
                <w:color w:val="00B050"/>
                <w:sz w:val="18"/>
                <w:szCs w:val="18"/>
                <w:u w:val="single"/>
              </w:rPr>
            </w:pPr>
          </w:p>
        </w:tc>
        <w:tc>
          <w:tcPr>
            <w:tcW w:w="1339" w:type="dxa"/>
          </w:tcPr>
          <w:p w:rsidR="001D351E" w:rsidRDefault="001D351E" w:rsidP="00477525">
            <w:pPr>
              <w:jc w:val="center"/>
            </w:pPr>
          </w:p>
        </w:tc>
        <w:sdt>
          <w:sdtPr>
            <w:id w:val="157701105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751233134"/>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667854059"/>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547805917"/>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C959DD" w:rsidTr="006B3DED">
        <w:tc>
          <w:tcPr>
            <w:tcW w:w="2660" w:type="dxa"/>
            <w:vAlign w:val="center"/>
          </w:tcPr>
          <w:p w:rsidR="00C959DD" w:rsidRDefault="00C959DD" w:rsidP="00477525">
            <w:pPr>
              <w:jc w:val="center"/>
              <w:rPr>
                <w:sz w:val="20"/>
                <w:szCs w:val="20"/>
              </w:rPr>
            </w:pPr>
          </w:p>
        </w:tc>
        <w:tc>
          <w:tcPr>
            <w:tcW w:w="12899" w:type="dxa"/>
            <w:vAlign w:val="center"/>
          </w:tcPr>
          <w:p w:rsidR="00C959DD" w:rsidRPr="00C959DD" w:rsidRDefault="00951848" w:rsidP="00477525">
            <w:pPr>
              <w:rPr>
                <w:sz w:val="18"/>
                <w:szCs w:val="18"/>
              </w:rPr>
            </w:pPr>
            <w:hyperlink r:id="rId39" w:tooltip="Elaborations: understanding that objects can be moved but changing position does not alter an object’s size or features" w:history="1">
              <w:r w:rsidR="00C959DD" w:rsidRPr="00C959DD">
                <w:rPr>
                  <w:rStyle w:val="Hyperlink"/>
                  <w:rFonts w:ascii="Helvetica" w:hAnsi="Helvetica" w:cs="Helvetica"/>
                  <w:color w:val="auto"/>
                  <w:sz w:val="20"/>
                  <w:szCs w:val="20"/>
                  <w:u w:val="none"/>
                  <w:shd w:val="clear" w:color="auto" w:fill="FFFFFF"/>
                </w:rPr>
                <w:t>Investigate the effect of one-step slides and flips with and without digital technologies(ACMMG045)</w:t>
              </w:r>
            </w:hyperlink>
          </w:p>
        </w:tc>
        <w:tc>
          <w:tcPr>
            <w:tcW w:w="2552" w:type="dxa"/>
          </w:tcPr>
          <w:p w:rsidR="00C959DD" w:rsidRPr="0085578D" w:rsidRDefault="00C959DD" w:rsidP="00477525">
            <w:pPr>
              <w:jc w:val="center"/>
              <w:rPr>
                <w:b/>
                <w:i/>
                <w:color w:val="00B050"/>
                <w:sz w:val="18"/>
                <w:szCs w:val="18"/>
                <w:u w:val="single"/>
              </w:rPr>
            </w:pPr>
          </w:p>
        </w:tc>
        <w:tc>
          <w:tcPr>
            <w:tcW w:w="1339" w:type="dxa"/>
          </w:tcPr>
          <w:p w:rsidR="00C959DD" w:rsidRDefault="00C959DD" w:rsidP="00477525">
            <w:pPr>
              <w:jc w:val="center"/>
            </w:pPr>
          </w:p>
        </w:tc>
        <w:tc>
          <w:tcPr>
            <w:tcW w:w="704" w:type="dxa"/>
            <w:vAlign w:val="center"/>
          </w:tcPr>
          <w:p w:rsidR="00C959DD" w:rsidRDefault="00C959DD" w:rsidP="00477525">
            <w:pPr>
              <w:jc w:val="center"/>
            </w:pPr>
          </w:p>
        </w:tc>
        <w:tc>
          <w:tcPr>
            <w:tcW w:w="703" w:type="dxa"/>
            <w:vAlign w:val="center"/>
          </w:tcPr>
          <w:p w:rsidR="00C959DD" w:rsidRDefault="00C959DD" w:rsidP="00477525">
            <w:pPr>
              <w:jc w:val="center"/>
            </w:pPr>
          </w:p>
        </w:tc>
        <w:tc>
          <w:tcPr>
            <w:tcW w:w="704" w:type="dxa"/>
            <w:vAlign w:val="center"/>
          </w:tcPr>
          <w:p w:rsidR="00C959DD" w:rsidRDefault="00C959DD" w:rsidP="00477525">
            <w:pPr>
              <w:jc w:val="center"/>
            </w:pPr>
          </w:p>
        </w:tc>
        <w:tc>
          <w:tcPr>
            <w:tcW w:w="704" w:type="dxa"/>
            <w:vAlign w:val="center"/>
          </w:tcPr>
          <w:p w:rsidR="00C959DD" w:rsidRDefault="00C959DD" w:rsidP="00477525">
            <w:pPr>
              <w:jc w:val="center"/>
            </w:pPr>
          </w:p>
        </w:tc>
      </w:tr>
      <w:tr w:rsidR="00C959DD" w:rsidTr="006B3DED">
        <w:tc>
          <w:tcPr>
            <w:tcW w:w="2660" w:type="dxa"/>
            <w:vAlign w:val="center"/>
          </w:tcPr>
          <w:p w:rsidR="00C959DD" w:rsidRDefault="00C959DD" w:rsidP="00477525">
            <w:pPr>
              <w:jc w:val="center"/>
              <w:rPr>
                <w:sz w:val="20"/>
                <w:szCs w:val="20"/>
              </w:rPr>
            </w:pPr>
          </w:p>
        </w:tc>
        <w:tc>
          <w:tcPr>
            <w:tcW w:w="12899" w:type="dxa"/>
            <w:vAlign w:val="center"/>
          </w:tcPr>
          <w:p w:rsidR="00C959DD" w:rsidRPr="00C959DD" w:rsidRDefault="00951848" w:rsidP="00477525">
            <w:pPr>
              <w:rPr>
                <w:sz w:val="18"/>
                <w:szCs w:val="18"/>
              </w:rPr>
            </w:pPr>
            <w:hyperlink r:id="rId40" w:tooltip="Elaborations: predicting and reproducing a pattern based around half and quarter turns of a shape and sketching the next element in the pattern" w:history="1">
              <w:r w:rsidR="00C959DD" w:rsidRPr="00C959DD">
                <w:rPr>
                  <w:rStyle w:val="Hyperlink"/>
                  <w:rFonts w:ascii="Helvetica" w:hAnsi="Helvetica" w:cs="Helvetica"/>
                  <w:color w:val="auto"/>
                  <w:sz w:val="20"/>
                  <w:szCs w:val="20"/>
                  <w:u w:val="none"/>
                  <w:shd w:val="clear" w:color="auto" w:fill="FFFFFF"/>
                </w:rPr>
                <w:t>Identify and describe half and quarter turns (ACMMG046)</w:t>
              </w:r>
            </w:hyperlink>
          </w:p>
        </w:tc>
        <w:tc>
          <w:tcPr>
            <w:tcW w:w="2552" w:type="dxa"/>
          </w:tcPr>
          <w:p w:rsidR="00C959DD" w:rsidRPr="0085578D" w:rsidRDefault="00C959DD" w:rsidP="00477525">
            <w:pPr>
              <w:jc w:val="center"/>
              <w:rPr>
                <w:b/>
                <w:i/>
                <w:color w:val="00B050"/>
                <w:sz w:val="18"/>
                <w:szCs w:val="18"/>
                <w:u w:val="single"/>
              </w:rPr>
            </w:pPr>
          </w:p>
        </w:tc>
        <w:tc>
          <w:tcPr>
            <w:tcW w:w="1339" w:type="dxa"/>
          </w:tcPr>
          <w:p w:rsidR="00C959DD" w:rsidRDefault="00C959DD" w:rsidP="00477525">
            <w:pPr>
              <w:jc w:val="center"/>
            </w:pPr>
          </w:p>
        </w:tc>
        <w:tc>
          <w:tcPr>
            <w:tcW w:w="704" w:type="dxa"/>
            <w:vAlign w:val="center"/>
          </w:tcPr>
          <w:p w:rsidR="00C959DD" w:rsidRDefault="00C959DD" w:rsidP="00477525">
            <w:pPr>
              <w:jc w:val="center"/>
            </w:pPr>
          </w:p>
        </w:tc>
        <w:tc>
          <w:tcPr>
            <w:tcW w:w="703" w:type="dxa"/>
            <w:vAlign w:val="center"/>
          </w:tcPr>
          <w:p w:rsidR="00C959DD" w:rsidRDefault="00C959DD" w:rsidP="00477525">
            <w:pPr>
              <w:jc w:val="center"/>
            </w:pPr>
          </w:p>
        </w:tc>
        <w:tc>
          <w:tcPr>
            <w:tcW w:w="704" w:type="dxa"/>
            <w:vAlign w:val="center"/>
          </w:tcPr>
          <w:p w:rsidR="00C959DD" w:rsidRDefault="00C959DD" w:rsidP="00477525">
            <w:pPr>
              <w:jc w:val="center"/>
            </w:pPr>
          </w:p>
        </w:tc>
        <w:tc>
          <w:tcPr>
            <w:tcW w:w="704" w:type="dxa"/>
            <w:vAlign w:val="center"/>
          </w:tcPr>
          <w:p w:rsidR="00C959DD" w:rsidRDefault="00C959DD" w:rsidP="00477525">
            <w:pPr>
              <w:jc w:val="center"/>
            </w:pPr>
          </w:p>
        </w:tc>
      </w:tr>
      <w:tr w:rsidR="001D351E" w:rsidTr="006B3DED">
        <w:tc>
          <w:tcPr>
            <w:tcW w:w="15559" w:type="dxa"/>
            <w:gridSpan w:val="2"/>
            <w:shd w:val="clear" w:color="auto" w:fill="D99594" w:themeFill="accent2" w:themeFillTint="99"/>
            <w:vAlign w:val="center"/>
          </w:tcPr>
          <w:p w:rsidR="001D351E" w:rsidRDefault="001D351E" w:rsidP="001D351E">
            <w:pPr>
              <w:jc w:val="center"/>
              <w:rPr>
                <w:b/>
              </w:rPr>
            </w:pPr>
            <w:r>
              <w:rPr>
                <w:b/>
                <w:sz w:val="28"/>
                <w:szCs w:val="28"/>
              </w:rPr>
              <w:t xml:space="preserve">STATISTICS AND PROBABILITY </w:t>
            </w:r>
          </w:p>
        </w:tc>
        <w:tc>
          <w:tcPr>
            <w:tcW w:w="2552" w:type="dxa"/>
            <w:shd w:val="clear" w:color="auto" w:fill="D99594" w:themeFill="accent2" w:themeFillTint="99"/>
          </w:tcPr>
          <w:p w:rsidR="001D351E" w:rsidRDefault="001D351E" w:rsidP="001D351E">
            <w:pPr>
              <w:jc w:val="center"/>
              <w:rPr>
                <w:b/>
              </w:rPr>
            </w:pPr>
          </w:p>
        </w:tc>
        <w:tc>
          <w:tcPr>
            <w:tcW w:w="1339"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647AB6" w:rsidRDefault="001D351E" w:rsidP="001D351E">
            <w:pPr>
              <w:jc w:val="center"/>
              <w:rPr>
                <w:b/>
              </w:rPr>
            </w:pPr>
          </w:p>
        </w:tc>
        <w:tc>
          <w:tcPr>
            <w:tcW w:w="703"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8117D3" w:rsidRDefault="001D351E" w:rsidP="001D351E">
            <w:pPr>
              <w:jc w:val="center"/>
              <w:rPr>
                <w:b/>
              </w:rPr>
            </w:pPr>
          </w:p>
        </w:tc>
        <w:tc>
          <w:tcPr>
            <w:tcW w:w="704" w:type="dxa"/>
            <w:shd w:val="clear" w:color="auto" w:fill="D99594" w:themeFill="accent2" w:themeFillTint="99"/>
            <w:vAlign w:val="center"/>
          </w:tcPr>
          <w:p w:rsidR="001D351E" w:rsidRDefault="001D351E" w:rsidP="001D351E">
            <w:pPr>
              <w:jc w:val="center"/>
              <w:rPr>
                <w:rFonts w:ascii="MS Gothic" w:eastAsia="MS Gothic" w:hAnsi="MS Gothic"/>
              </w:rPr>
            </w:pPr>
          </w:p>
        </w:tc>
      </w:tr>
      <w:tr w:rsidR="001D351E" w:rsidTr="006B3DED">
        <w:tc>
          <w:tcPr>
            <w:tcW w:w="2660" w:type="dxa"/>
            <w:vAlign w:val="center"/>
          </w:tcPr>
          <w:p w:rsidR="001D351E" w:rsidRPr="00647AB6" w:rsidRDefault="004B4D84" w:rsidP="001D351E">
            <w:pPr>
              <w:jc w:val="center"/>
              <w:rPr>
                <w:sz w:val="20"/>
                <w:szCs w:val="20"/>
              </w:rPr>
            </w:pPr>
            <w:r>
              <w:rPr>
                <w:sz w:val="20"/>
                <w:szCs w:val="20"/>
              </w:rPr>
              <w:t>Chance</w:t>
            </w:r>
          </w:p>
        </w:tc>
        <w:tc>
          <w:tcPr>
            <w:tcW w:w="12899" w:type="dxa"/>
            <w:vAlign w:val="center"/>
          </w:tcPr>
          <w:p w:rsidR="001D351E" w:rsidRPr="00440142" w:rsidRDefault="00951848" w:rsidP="001D351E">
            <w:pPr>
              <w:rPr>
                <w:b/>
                <w:i/>
                <w:sz w:val="18"/>
                <w:szCs w:val="18"/>
              </w:rPr>
            </w:pPr>
            <w:hyperlink r:id="rId41" w:tooltip="Elaborations: classifying a list of everyday events according to how likely they are to happen, using the language of chance, and explaining reasoning" w:history="1">
              <w:r w:rsidR="004B4D84" w:rsidRPr="00440142">
                <w:rPr>
                  <w:rStyle w:val="Hyperlink"/>
                  <w:rFonts w:ascii="Helvetica" w:hAnsi="Helvetica" w:cs="Helvetica"/>
                  <w:color w:val="auto"/>
                  <w:sz w:val="20"/>
                  <w:szCs w:val="20"/>
                  <w:u w:val="none"/>
                  <w:shd w:val="clear" w:color="auto" w:fill="FFFFFF"/>
                </w:rPr>
                <w:t>Identify practical activities and everyday events that involve chance. Describe outcomes as ‘likely’ or ‘unlikely’ and identify some events as ‘certain’ or ‘impossible’(ACMSP047)</w:t>
              </w:r>
            </w:hyperlink>
          </w:p>
        </w:tc>
        <w:tc>
          <w:tcPr>
            <w:tcW w:w="2552" w:type="dxa"/>
          </w:tcPr>
          <w:p w:rsidR="001D351E" w:rsidRDefault="00951848" w:rsidP="00B77E56">
            <w:pPr>
              <w:tabs>
                <w:tab w:val="left" w:pos="1627"/>
              </w:tabs>
              <w:jc w:val="center"/>
            </w:pPr>
            <w:hyperlink r:id="rId42" w:history="1">
              <w:r w:rsidR="00B77E56" w:rsidRPr="0007077A">
                <w:rPr>
                  <w:rStyle w:val="Hyperlink"/>
                  <w:b/>
                  <w:i/>
                  <w:color w:val="00B050"/>
                  <w:sz w:val="18"/>
                  <w:szCs w:val="18"/>
                </w:rPr>
                <w:t>TIMESSP16</w:t>
              </w:r>
            </w:hyperlink>
          </w:p>
        </w:tc>
        <w:tc>
          <w:tcPr>
            <w:tcW w:w="1339" w:type="dxa"/>
          </w:tcPr>
          <w:p w:rsidR="001D351E" w:rsidRDefault="001D351E" w:rsidP="001D351E">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c>
          <w:tcPr>
            <w:tcW w:w="704" w:type="dxa"/>
            <w:vAlign w:val="center"/>
          </w:tcPr>
          <w:p w:rsidR="001D351E" w:rsidRDefault="00951848" w:rsidP="001D351E">
            <w:pPr>
              <w:jc w:val="center"/>
            </w:pPr>
            <w:sdt>
              <w:sdtPr>
                <w:id w:val="1287391883"/>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Default="00440142" w:rsidP="001D351E">
            <w:pPr>
              <w:jc w:val="center"/>
              <w:rPr>
                <w:sz w:val="20"/>
                <w:szCs w:val="20"/>
              </w:rPr>
            </w:pPr>
            <w:r>
              <w:rPr>
                <w:sz w:val="20"/>
                <w:szCs w:val="20"/>
              </w:rPr>
              <w:t>Data Representation &amp; Interpretation</w:t>
            </w:r>
          </w:p>
        </w:tc>
        <w:tc>
          <w:tcPr>
            <w:tcW w:w="12899" w:type="dxa"/>
            <w:vAlign w:val="center"/>
          </w:tcPr>
          <w:p w:rsidR="001D351E" w:rsidRPr="00440142" w:rsidRDefault="00951848" w:rsidP="001D351E">
            <w:pPr>
              <w:rPr>
                <w:b/>
                <w:i/>
                <w:sz w:val="18"/>
                <w:szCs w:val="18"/>
              </w:rPr>
            </w:pPr>
            <w:hyperlink r:id="rId43" w:tooltip="Elaborations: determining the variety of birdlife in the playground and using a prepared table to record observations" w:history="1">
              <w:r w:rsidR="004B4D84" w:rsidRPr="00440142">
                <w:rPr>
                  <w:rStyle w:val="Hyperlink"/>
                  <w:rFonts w:ascii="Helvetica" w:hAnsi="Helvetica" w:cs="Helvetica"/>
                  <w:color w:val="auto"/>
                  <w:sz w:val="20"/>
                  <w:szCs w:val="20"/>
                  <w:u w:val="none"/>
                  <w:shd w:val="clear" w:color="auto" w:fill="FFFFFF"/>
                </w:rPr>
                <w:t>Identify a question of interest based on one categorical variable. Gather data relevant to the question (ACMSP048)</w:t>
              </w:r>
            </w:hyperlink>
          </w:p>
        </w:tc>
        <w:tc>
          <w:tcPr>
            <w:tcW w:w="2552" w:type="dxa"/>
          </w:tcPr>
          <w:p w:rsidR="001D351E" w:rsidRDefault="00951848" w:rsidP="001D351E">
            <w:pPr>
              <w:jc w:val="center"/>
            </w:pPr>
            <w:hyperlink r:id="rId44" w:history="1">
              <w:r w:rsidR="00B77E56" w:rsidRPr="0007077A">
                <w:rPr>
                  <w:rStyle w:val="Hyperlink"/>
                  <w:b/>
                  <w:i/>
                  <w:color w:val="00B050"/>
                  <w:sz w:val="18"/>
                  <w:szCs w:val="18"/>
                </w:rPr>
                <w:t>TIMESSP17</w:t>
              </w:r>
            </w:hyperlink>
          </w:p>
        </w:tc>
        <w:tc>
          <w:tcPr>
            <w:tcW w:w="1339" w:type="dxa"/>
          </w:tcPr>
          <w:p w:rsidR="001D351E" w:rsidRDefault="001D351E" w:rsidP="001D351E">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1D351E">
            <w:pPr>
              <w:jc w:val="center"/>
              <w:rPr>
                <w:sz w:val="20"/>
                <w:szCs w:val="20"/>
              </w:rPr>
            </w:pPr>
          </w:p>
        </w:tc>
        <w:tc>
          <w:tcPr>
            <w:tcW w:w="12899" w:type="dxa"/>
            <w:vAlign w:val="center"/>
          </w:tcPr>
          <w:p w:rsidR="001D351E" w:rsidRPr="00440142" w:rsidRDefault="00951848" w:rsidP="001D351E">
            <w:pPr>
              <w:rPr>
                <w:b/>
                <w:i/>
                <w:sz w:val="18"/>
                <w:szCs w:val="18"/>
              </w:rPr>
            </w:pPr>
            <w:hyperlink r:id="rId45" w:tooltip="Elaborations: 1) recognising the usefulness of tally marks, 2) identifying categories of data and using them to sort data" w:history="1">
              <w:r w:rsidR="004B4D84" w:rsidRPr="00440142">
                <w:rPr>
                  <w:rStyle w:val="Hyperlink"/>
                  <w:rFonts w:ascii="Helvetica" w:hAnsi="Helvetica" w:cs="Helvetica"/>
                  <w:color w:val="auto"/>
                  <w:sz w:val="20"/>
                  <w:szCs w:val="20"/>
                  <w:u w:val="none"/>
                  <w:shd w:val="clear" w:color="auto" w:fill="FFFFFF"/>
                </w:rPr>
                <w:t>Collect, check and classify data (ACMSP049)</w:t>
              </w:r>
            </w:hyperlink>
          </w:p>
        </w:tc>
        <w:tc>
          <w:tcPr>
            <w:tcW w:w="2552" w:type="dxa"/>
          </w:tcPr>
          <w:p w:rsidR="001D351E" w:rsidRDefault="00951848" w:rsidP="001D351E">
            <w:pPr>
              <w:jc w:val="center"/>
            </w:pPr>
            <w:hyperlink r:id="rId46" w:history="1">
              <w:r w:rsidR="00B77E56" w:rsidRPr="0007077A">
                <w:rPr>
                  <w:rStyle w:val="Hyperlink"/>
                  <w:b/>
                  <w:i/>
                  <w:color w:val="00B050"/>
                  <w:sz w:val="18"/>
                  <w:szCs w:val="18"/>
                </w:rPr>
                <w:t>TIMESSP17</w:t>
              </w:r>
            </w:hyperlink>
          </w:p>
        </w:tc>
        <w:tc>
          <w:tcPr>
            <w:tcW w:w="1339" w:type="dxa"/>
          </w:tcPr>
          <w:p w:rsidR="001D351E" w:rsidRDefault="001D351E" w:rsidP="001D351E">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1D351E">
            <w:pPr>
              <w:jc w:val="center"/>
              <w:rPr>
                <w:sz w:val="20"/>
                <w:szCs w:val="20"/>
              </w:rPr>
            </w:pPr>
          </w:p>
        </w:tc>
        <w:tc>
          <w:tcPr>
            <w:tcW w:w="12899" w:type="dxa"/>
            <w:vAlign w:val="center"/>
          </w:tcPr>
          <w:p w:rsidR="001D351E" w:rsidRPr="00440142" w:rsidRDefault="00951848" w:rsidP="001D351E">
            <w:pPr>
              <w:rPr>
                <w:b/>
                <w:i/>
                <w:sz w:val="18"/>
                <w:szCs w:val="18"/>
              </w:rPr>
            </w:pPr>
            <w:hyperlink r:id="rId47" w:tooltip="Elaborations: 1) creating picture graphs to represent data using one-to-one correspondence, 2) comparing the usefulness of different data displays" w:history="1">
              <w:r w:rsidR="004B4D84" w:rsidRPr="00440142">
                <w:rPr>
                  <w:rStyle w:val="Hyperlink"/>
                  <w:rFonts w:ascii="Helvetica" w:hAnsi="Helvetica" w:cs="Helvetica"/>
                  <w:color w:val="auto"/>
                  <w:sz w:val="20"/>
                  <w:szCs w:val="20"/>
                  <w:u w:val="none"/>
                  <w:shd w:val="clear" w:color="auto" w:fill="FFFFFF"/>
                </w:rPr>
                <w:t>Create displays of data using lists, table and picture graphs and interpret them(ACMSP050)</w:t>
              </w:r>
            </w:hyperlink>
          </w:p>
        </w:tc>
        <w:tc>
          <w:tcPr>
            <w:tcW w:w="2552" w:type="dxa"/>
          </w:tcPr>
          <w:p w:rsidR="001D351E" w:rsidRDefault="00951848" w:rsidP="001D351E">
            <w:pPr>
              <w:jc w:val="center"/>
            </w:pPr>
            <w:hyperlink r:id="rId48" w:history="1">
              <w:r w:rsidR="00B77E56" w:rsidRPr="0007077A">
                <w:rPr>
                  <w:rStyle w:val="Hyperlink"/>
                  <w:b/>
                  <w:i/>
                  <w:color w:val="00B050"/>
                  <w:sz w:val="18"/>
                  <w:szCs w:val="18"/>
                </w:rPr>
                <w:t>TIMESSP17</w:t>
              </w:r>
            </w:hyperlink>
          </w:p>
        </w:tc>
        <w:tc>
          <w:tcPr>
            <w:tcW w:w="1339" w:type="dxa"/>
          </w:tcPr>
          <w:p w:rsidR="001D351E" w:rsidRDefault="001D351E" w:rsidP="001D351E">
            <w:pPr>
              <w:jc w:val="center"/>
            </w:pPr>
          </w:p>
        </w:tc>
        <w:sdt>
          <w:sdtPr>
            <w:id w:val="-126353754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482DD4" w:rsidTr="006B3DED">
        <w:tc>
          <w:tcPr>
            <w:tcW w:w="15559" w:type="dxa"/>
            <w:gridSpan w:val="2"/>
            <w:shd w:val="clear" w:color="auto" w:fill="D99594" w:themeFill="accent2" w:themeFillTint="99"/>
            <w:vAlign w:val="center"/>
          </w:tcPr>
          <w:p w:rsidR="00482DD4" w:rsidRPr="0093703D" w:rsidRDefault="008165B9" w:rsidP="00DF70E3">
            <w:pPr>
              <w:jc w:val="center"/>
              <w:rPr>
                <w:rFonts w:ascii="Helvetica" w:hAnsi="Helvetica" w:cs="Helvetica"/>
                <w:sz w:val="20"/>
                <w:szCs w:val="20"/>
                <w:shd w:val="clear" w:color="auto" w:fill="FFFFFF"/>
              </w:rPr>
            </w:pPr>
            <w:r>
              <w:rPr>
                <w:b/>
                <w:sz w:val="28"/>
                <w:szCs w:val="28"/>
              </w:rPr>
              <w:t>PROFICIENCIES</w:t>
            </w:r>
            <w:r w:rsidR="00482DD4">
              <w:rPr>
                <w:b/>
                <w:sz w:val="28"/>
                <w:szCs w:val="28"/>
              </w:rPr>
              <w:t xml:space="preserve"> (Embedded Throughout)</w:t>
            </w:r>
          </w:p>
        </w:tc>
        <w:tc>
          <w:tcPr>
            <w:tcW w:w="6706" w:type="dxa"/>
            <w:gridSpan w:val="6"/>
            <w:shd w:val="clear" w:color="auto" w:fill="D99594" w:themeFill="accent2" w:themeFillTint="99"/>
          </w:tcPr>
          <w:p w:rsidR="00482DD4" w:rsidRPr="00482DD4" w:rsidRDefault="00482DD4" w:rsidP="001D351E">
            <w:pPr>
              <w:jc w:val="center"/>
              <w:rPr>
                <w:rFonts w:ascii="MS Gothic" w:eastAsia="MS Gothic" w:hAnsi="MS Gothic"/>
                <w:b/>
              </w:rPr>
            </w:pPr>
            <w:r w:rsidRPr="00482DD4">
              <w:rPr>
                <w:rFonts w:ascii="MS Gothic" w:eastAsia="MS Gothic" w:hAnsi="MS Gothic"/>
                <w:b/>
              </w:rPr>
              <w:t>Keywords</w:t>
            </w:r>
          </w:p>
        </w:tc>
      </w:tr>
      <w:tr w:rsidR="00440142" w:rsidTr="00C063A9">
        <w:tc>
          <w:tcPr>
            <w:tcW w:w="2660" w:type="dxa"/>
            <w:vAlign w:val="center"/>
          </w:tcPr>
          <w:p w:rsidR="00440142" w:rsidRPr="00005C05" w:rsidRDefault="00951848" w:rsidP="001D351E">
            <w:pPr>
              <w:jc w:val="center"/>
              <w:rPr>
                <w:b/>
                <w:color w:val="000000" w:themeColor="text1"/>
                <w:sz w:val="20"/>
                <w:szCs w:val="20"/>
              </w:rPr>
            </w:pPr>
            <w:hyperlink r:id="rId49" w:tooltip="A full list of Understanding Statements and Keywords" w:history="1">
              <w:r w:rsidR="00440142" w:rsidRPr="00005C05">
                <w:rPr>
                  <w:rStyle w:val="Hyperlink"/>
                  <w:b/>
                  <w:color w:val="000000" w:themeColor="text1"/>
                  <w:sz w:val="20"/>
                  <w:szCs w:val="20"/>
                  <w:u w:val="none"/>
                </w:rPr>
                <w:t>Understanding</w:t>
              </w:r>
            </w:hyperlink>
          </w:p>
        </w:tc>
        <w:tc>
          <w:tcPr>
            <w:tcW w:w="12899" w:type="dxa"/>
          </w:tcPr>
          <w:p w:rsidR="00440142" w:rsidRPr="00434A51" w:rsidRDefault="00440142" w:rsidP="00CC49E7">
            <w:pPr>
              <w:rPr>
                <w:rFonts w:ascii="Calibri" w:hAnsi="Calibri"/>
                <w:i/>
                <w:iCs/>
              </w:rPr>
            </w:pPr>
            <w:r>
              <w:rPr>
                <w:rFonts w:ascii="Calibri" w:hAnsi="Calibri"/>
              </w:rPr>
              <w:t>includes connecting number calculations with counting sequences, partitioning and combining numbers flexibly, identifying and describing the relationship between addition and subtraction and between multiplication and division</w:t>
            </w:r>
          </w:p>
        </w:tc>
        <w:tc>
          <w:tcPr>
            <w:tcW w:w="6706" w:type="dxa"/>
            <w:gridSpan w:val="6"/>
          </w:tcPr>
          <w:p w:rsidR="00440142" w:rsidRPr="00DF60BB" w:rsidRDefault="00440142" w:rsidP="00CC49E7">
            <w:pPr>
              <w:rPr>
                <w:rFonts w:ascii="Calibri" w:hAnsi="Calibri"/>
              </w:rPr>
            </w:pPr>
            <w:r>
              <w:rPr>
                <w:rFonts w:ascii="Calibri" w:hAnsi="Calibri"/>
              </w:rPr>
              <w:t>Making connections, noticing properties, manipulating according to properties, identifying and describing relationships</w:t>
            </w:r>
          </w:p>
        </w:tc>
      </w:tr>
      <w:tr w:rsidR="00440142" w:rsidTr="0076159A">
        <w:tc>
          <w:tcPr>
            <w:tcW w:w="2660" w:type="dxa"/>
            <w:vAlign w:val="center"/>
          </w:tcPr>
          <w:p w:rsidR="00440142" w:rsidRPr="00005C05" w:rsidRDefault="00951848" w:rsidP="001D351E">
            <w:pPr>
              <w:jc w:val="center"/>
              <w:rPr>
                <w:b/>
                <w:sz w:val="20"/>
                <w:szCs w:val="20"/>
              </w:rPr>
            </w:pPr>
            <w:hyperlink r:id="rId50" w:tooltip="A full list of Fluency Statements and Keywords" w:history="1">
              <w:r w:rsidR="00440142" w:rsidRPr="00005C05">
                <w:rPr>
                  <w:rStyle w:val="Hyperlink"/>
                  <w:b/>
                  <w:color w:val="auto"/>
                  <w:sz w:val="20"/>
                  <w:szCs w:val="20"/>
                  <w:u w:val="none"/>
                </w:rPr>
                <w:t>Fluency</w:t>
              </w:r>
            </w:hyperlink>
          </w:p>
        </w:tc>
        <w:tc>
          <w:tcPr>
            <w:tcW w:w="12899" w:type="dxa"/>
          </w:tcPr>
          <w:p w:rsidR="00440142" w:rsidRPr="005E25B5" w:rsidRDefault="00440142" w:rsidP="00CC49E7">
            <w:pPr>
              <w:rPr>
                <w:rFonts w:ascii="Calibri" w:hAnsi="Calibri"/>
                <w:i/>
                <w:iCs/>
              </w:rPr>
            </w:pPr>
            <w:r>
              <w:rPr>
                <w:rFonts w:ascii="Calibri" w:hAnsi="Calibri"/>
              </w:rPr>
              <w:t>includes counting numbers in sequences readily, using informal units iteratively to compare measurements, using the language of chance to describe outcomes of familiar chance events and describing and comparing time durations</w:t>
            </w:r>
          </w:p>
        </w:tc>
        <w:tc>
          <w:tcPr>
            <w:tcW w:w="6706" w:type="dxa"/>
            <w:gridSpan w:val="6"/>
          </w:tcPr>
          <w:p w:rsidR="00440142" w:rsidRPr="00DF60BB" w:rsidRDefault="00440142" w:rsidP="00CC49E7">
            <w:pPr>
              <w:rPr>
                <w:rFonts w:ascii="Calibri" w:hAnsi="Calibri"/>
              </w:rPr>
            </w:pPr>
            <w:r>
              <w:rPr>
                <w:rFonts w:ascii="Calibri" w:hAnsi="Calibri"/>
              </w:rPr>
              <w:t>Counting, iteration for measurement, describing and comparing</w:t>
            </w:r>
          </w:p>
        </w:tc>
      </w:tr>
      <w:tr w:rsidR="00440142" w:rsidTr="000D393D">
        <w:tc>
          <w:tcPr>
            <w:tcW w:w="2660" w:type="dxa"/>
            <w:vAlign w:val="center"/>
          </w:tcPr>
          <w:p w:rsidR="00440142" w:rsidRPr="00005C05" w:rsidRDefault="00951848" w:rsidP="00005C05">
            <w:pPr>
              <w:jc w:val="center"/>
              <w:rPr>
                <w:b/>
                <w:sz w:val="20"/>
                <w:szCs w:val="20"/>
              </w:rPr>
            </w:pPr>
            <w:hyperlink r:id="rId51" w:tooltip="A full list of Problem Solving Statements and Keywords" w:history="1">
              <w:r w:rsidR="00440142" w:rsidRPr="00005C05">
                <w:rPr>
                  <w:rStyle w:val="Hyperlink"/>
                  <w:b/>
                  <w:color w:val="000000" w:themeColor="text1"/>
                  <w:sz w:val="20"/>
                  <w:szCs w:val="20"/>
                  <w:u w:val="none"/>
                </w:rPr>
                <w:t>Problem Solving</w:t>
              </w:r>
            </w:hyperlink>
          </w:p>
        </w:tc>
        <w:tc>
          <w:tcPr>
            <w:tcW w:w="12899" w:type="dxa"/>
          </w:tcPr>
          <w:p w:rsidR="00440142" w:rsidRPr="00D32D09" w:rsidRDefault="00440142" w:rsidP="00CC49E7">
            <w:pPr>
              <w:rPr>
                <w:rFonts w:ascii="Calibri" w:hAnsi="Calibri"/>
              </w:rPr>
            </w:pPr>
            <w:r>
              <w:rPr>
                <w:rFonts w:ascii="Calibri" w:hAnsi="Calibri"/>
              </w:rPr>
              <w:t>includes formulating problems from authentic situations, making models and using number sentences that represent problem situations, and matching transformations with their original shape</w:t>
            </w:r>
          </w:p>
        </w:tc>
        <w:tc>
          <w:tcPr>
            <w:tcW w:w="6706" w:type="dxa"/>
            <w:gridSpan w:val="6"/>
          </w:tcPr>
          <w:p w:rsidR="00440142" w:rsidRPr="00DF60BB" w:rsidRDefault="00440142" w:rsidP="00CC49E7">
            <w:pPr>
              <w:rPr>
                <w:rFonts w:ascii="Calibri" w:hAnsi="Calibri"/>
              </w:rPr>
            </w:pPr>
            <w:r>
              <w:rPr>
                <w:rFonts w:ascii="Calibri" w:hAnsi="Calibri"/>
              </w:rPr>
              <w:t>Formulate, model, comparison matching</w:t>
            </w:r>
          </w:p>
        </w:tc>
      </w:tr>
      <w:tr w:rsidR="00440142" w:rsidTr="00982938">
        <w:tc>
          <w:tcPr>
            <w:tcW w:w="2660" w:type="dxa"/>
            <w:vAlign w:val="center"/>
          </w:tcPr>
          <w:p w:rsidR="00440142" w:rsidRPr="00005C05" w:rsidRDefault="00951848" w:rsidP="001D351E">
            <w:pPr>
              <w:jc w:val="center"/>
              <w:rPr>
                <w:b/>
                <w:sz w:val="20"/>
                <w:szCs w:val="20"/>
              </w:rPr>
            </w:pPr>
            <w:hyperlink r:id="rId52" w:tooltip="A full list of Reasoning Statements and Keywords" w:history="1">
              <w:r w:rsidR="00440142" w:rsidRPr="00005C05">
                <w:rPr>
                  <w:rStyle w:val="Hyperlink"/>
                  <w:b/>
                  <w:color w:val="auto"/>
                  <w:sz w:val="20"/>
                  <w:szCs w:val="20"/>
                  <w:u w:val="none"/>
                </w:rPr>
                <w:t>Reasoning</w:t>
              </w:r>
            </w:hyperlink>
          </w:p>
        </w:tc>
        <w:tc>
          <w:tcPr>
            <w:tcW w:w="12899" w:type="dxa"/>
          </w:tcPr>
          <w:p w:rsidR="00440142" w:rsidRPr="00D32D09" w:rsidRDefault="00440142" w:rsidP="00440142">
            <w:pPr>
              <w:rPr>
                <w:rFonts w:ascii="Calibri" w:hAnsi="Calibri"/>
              </w:rPr>
            </w:pPr>
            <w:r>
              <w:rPr>
                <w:rFonts w:ascii="Calibri" w:hAnsi="Calibri"/>
              </w:rPr>
              <w:t>includes using known facts to derive strategies for unfamiliar calculations, comparing and contrasting related models of operations, and creating and interpreting simple representations of data</w:t>
            </w:r>
          </w:p>
        </w:tc>
        <w:tc>
          <w:tcPr>
            <w:tcW w:w="6706" w:type="dxa"/>
            <w:gridSpan w:val="6"/>
          </w:tcPr>
          <w:p w:rsidR="00440142" w:rsidRPr="00DF60BB" w:rsidRDefault="00440142" w:rsidP="00CC49E7">
            <w:pPr>
              <w:rPr>
                <w:rFonts w:ascii="Calibri" w:hAnsi="Calibri"/>
              </w:rPr>
            </w:pPr>
            <w:r>
              <w:rPr>
                <w:rFonts w:ascii="Calibri" w:hAnsi="Calibri"/>
              </w:rPr>
              <w:t>Derive, develop, strategies, compare, contrast, interpret, creating</w:t>
            </w:r>
          </w:p>
        </w:tc>
      </w:tr>
    </w:tbl>
    <w:p w:rsidR="00C010C4" w:rsidRPr="00DF70E3" w:rsidRDefault="00C010C4" w:rsidP="0031783C"/>
    <w:sectPr w:rsidR="00C010C4" w:rsidRPr="00DF70E3" w:rsidSect="00F04F27">
      <w:footerReference w:type="default" r:id="rId53"/>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48" w:rsidRDefault="00951848" w:rsidP="00F04F27">
      <w:pPr>
        <w:spacing w:after="0" w:line="240" w:lineRule="auto"/>
      </w:pPr>
      <w:r>
        <w:separator/>
      </w:r>
    </w:p>
  </w:endnote>
  <w:endnote w:type="continuationSeparator" w:id="0">
    <w:p w:rsidR="00951848" w:rsidRDefault="00951848"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48" w:rsidRDefault="00951848" w:rsidP="00F04F27">
      <w:pPr>
        <w:spacing w:after="0" w:line="240" w:lineRule="auto"/>
      </w:pPr>
      <w:r>
        <w:separator/>
      </w:r>
    </w:p>
  </w:footnote>
  <w:footnote w:type="continuationSeparator" w:id="0">
    <w:p w:rsidR="00951848" w:rsidRDefault="00951848"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B0343"/>
    <w:rsid w:val="000E27B2"/>
    <w:rsid w:val="00114EED"/>
    <w:rsid w:val="00117625"/>
    <w:rsid w:val="00117D91"/>
    <w:rsid w:val="001235F8"/>
    <w:rsid w:val="00133ED6"/>
    <w:rsid w:val="00136F1C"/>
    <w:rsid w:val="001504BE"/>
    <w:rsid w:val="001703DA"/>
    <w:rsid w:val="001C1396"/>
    <w:rsid w:val="001D32BB"/>
    <w:rsid w:val="001D351E"/>
    <w:rsid w:val="001D52E2"/>
    <w:rsid w:val="001E6CDE"/>
    <w:rsid w:val="00257B7E"/>
    <w:rsid w:val="002A7585"/>
    <w:rsid w:val="002C4DEA"/>
    <w:rsid w:val="00303855"/>
    <w:rsid w:val="00306AED"/>
    <w:rsid w:val="00313D0F"/>
    <w:rsid w:val="00314156"/>
    <w:rsid w:val="0031783C"/>
    <w:rsid w:val="003247CE"/>
    <w:rsid w:val="003440A2"/>
    <w:rsid w:val="00364796"/>
    <w:rsid w:val="003701B7"/>
    <w:rsid w:val="003801FB"/>
    <w:rsid w:val="003B1EB5"/>
    <w:rsid w:val="00405867"/>
    <w:rsid w:val="00440142"/>
    <w:rsid w:val="00477525"/>
    <w:rsid w:val="00482DD4"/>
    <w:rsid w:val="00496C03"/>
    <w:rsid w:val="004A130D"/>
    <w:rsid w:val="004B4D84"/>
    <w:rsid w:val="00501693"/>
    <w:rsid w:val="00523CF9"/>
    <w:rsid w:val="005E7F32"/>
    <w:rsid w:val="0064389E"/>
    <w:rsid w:val="00647AB6"/>
    <w:rsid w:val="00651B2A"/>
    <w:rsid w:val="0068744D"/>
    <w:rsid w:val="006A023E"/>
    <w:rsid w:val="006B3DED"/>
    <w:rsid w:val="006C0A8F"/>
    <w:rsid w:val="006C198A"/>
    <w:rsid w:val="006D46B1"/>
    <w:rsid w:val="006E4C80"/>
    <w:rsid w:val="00703ED5"/>
    <w:rsid w:val="00710DD3"/>
    <w:rsid w:val="00731A0F"/>
    <w:rsid w:val="007C5D1E"/>
    <w:rsid w:val="007D4850"/>
    <w:rsid w:val="007D6C73"/>
    <w:rsid w:val="007E3008"/>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3703D"/>
    <w:rsid w:val="0094676E"/>
    <w:rsid w:val="00951848"/>
    <w:rsid w:val="00995193"/>
    <w:rsid w:val="009A43DB"/>
    <w:rsid w:val="009E2DCD"/>
    <w:rsid w:val="00A14CE5"/>
    <w:rsid w:val="00A44BA0"/>
    <w:rsid w:val="00A54FE7"/>
    <w:rsid w:val="00A646E1"/>
    <w:rsid w:val="00B30AC3"/>
    <w:rsid w:val="00B413C4"/>
    <w:rsid w:val="00B421BE"/>
    <w:rsid w:val="00B77E56"/>
    <w:rsid w:val="00BA4BB8"/>
    <w:rsid w:val="00BA7AD5"/>
    <w:rsid w:val="00BE2CFB"/>
    <w:rsid w:val="00C010C4"/>
    <w:rsid w:val="00C17FED"/>
    <w:rsid w:val="00C3286E"/>
    <w:rsid w:val="00C3624D"/>
    <w:rsid w:val="00C50017"/>
    <w:rsid w:val="00C9168E"/>
    <w:rsid w:val="00C959DD"/>
    <w:rsid w:val="00CA3C47"/>
    <w:rsid w:val="00CA78B4"/>
    <w:rsid w:val="00CD689E"/>
    <w:rsid w:val="00CE3338"/>
    <w:rsid w:val="00D36C97"/>
    <w:rsid w:val="00D823F7"/>
    <w:rsid w:val="00DB72DB"/>
    <w:rsid w:val="00DD2715"/>
    <w:rsid w:val="00DE55DA"/>
    <w:rsid w:val="00DF51D3"/>
    <w:rsid w:val="00DF70E3"/>
    <w:rsid w:val="00E07176"/>
    <w:rsid w:val="00E774EA"/>
    <w:rsid w:val="00EB3FE3"/>
    <w:rsid w:val="00EB7BC1"/>
    <w:rsid w:val="00EC1493"/>
    <w:rsid w:val="00EE47D6"/>
    <w:rsid w:val="00F04F27"/>
    <w:rsid w:val="00F319E1"/>
    <w:rsid w:val="00F51276"/>
    <w:rsid w:val="00F53D92"/>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mathematics/curriculum/f-10?y=2&amp;s=NA&amp;layout=1" TargetMode="External"/><Relationship Id="rId18" Type="http://schemas.openxmlformats.org/officeDocument/2006/relationships/hyperlink" Target="http://www.australiancurriculum.edu.au/mathematics/curriculum/f-10?y=2&amp;s=NA&amp;layout=1" TargetMode="External"/><Relationship Id="rId26" Type="http://schemas.openxmlformats.org/officeDocument/2006/relationships/hyperlink" Target="http://www.australiancurriculum.edu.au/mathematics/curriculum/f-10?y=2&amp;s=NA&amp;layout=1" TargetMode="External"/><Relationship Id="rId39" Type="http://schemas.openxmlformats.org/officeDocument/2006/relationships/hyperlink" Target="http://www.australiancurriculum.edu.au/mathematics/curriculum/f-10?y=2&amp;s=MG&amp;layout=1" TargetMode="External"/><Relationship Id="rId21" Type="http://schemas.openxmlformats.org/officeDocument/2006/relationships/hyperlink" Target="http://amsi.org.au/teacher_modules/multiplication_and_division.html" TargetMode="External"/><Relationship Id="rId34" Type="http://schemas.openxmlformats.org/officeDocument/2006/relationships/hyperlink" Target="http://www.australiancurriculum.edu.au/mathematics/curriculum/f-10?y=2&amp;s=MG&amp;layout=1" TargetMode="External"/><Relationship Id="rId42" Type="http://schemas.openxmlformats.org/officeDocument/2006/relationships/hyperlink" Target="http://www.amsi.org.au/teacher_modules/Chance_years_1-3.html" TargetMode="External"/><Relationship Id="rId47" Type="http://schemas.openxmlformats.org/officeDocument/2006/relationships/hyperlink" Target="http://www.australiancurriculum.edu.au/mathematics/curriculum/f-10?y=2&amp;s=SP&amp;layout=1" TargetMode="External"/><Relationship Id="rId50"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55" Type="http://schemas.openxmlformats.org/officeDocument/2006/relationships/theme" Target="theme/theme1.xml"/><Relationship Id="rId7" Type="http://schemas.openxmlformats.org/officeDocument/2006/relationships/hyperlink" Target="http://www.calculate.org.au/" TargetMode="External"/><Relationship Id="rId2" Type="http://schemas.microsoft.com/office/2007/relationships/stylesWithEffects" Target="stylesWithEffects.xml"/><Relationship Id="rId16" Type="http://schemas.openxmlformats.org/officeDocument/2006/relationships/hyperlink" Target="http://www.amsi.org.au/teacher_modules/Counting_and_place_valueK-4.html" TargetMode="External"/><Relationship Id="rId29" Type="http://schemas.openxmlformats.org/officeDocument/2006/relationships/hyperlink" Target="http://www.australiancurriculum.edu.au/mathematics/curriculum/f-10?y=2&amp;s=MG&amp;layout=1" TargetMode="External"/><Relationship Id="rId11" Type="http://schemas.openxmlformats.org/officeDocument/2006/relationships/hyperlink" Target="http://www.australiancurriculum.edu.au/mathematics/curriculum/f-10?y=2&amp;s=NA&amp;layout=1" TargetMode="External"/><Relationship Id="rId24" Type="http://schemas.openxmlformats.org/officeDocument/2006/relationships/hyperlink" Target="http://www.australiancurriculum.edu.au/mathematics/curriculum/f-10?y=2&amp;s=NA&amp;layout=1" TargetMode="External"/><Relationship Id="rId32" Type="http://schemas.openxmlformats.org/officeDocument/2006/relationships/hyperlink" Target="http://www.australiancurriculum.edu.au/mathematics/curriculum/f-10?y=2&amp;s=MG&amp;layout=1" TargetMode="External"/><Relationship Id="rId37" Type="http://schemas.openxmlformats.org/officeDocument/2006/relationships/hyperlink" Target="http://www.australiancurriculum.edu.au/mathematics/curriculum/f-10?y=2&amp;s=MG&amp;layout=1" TargetMode="External"/><Relationship Id="rId40" Type="http://schemas.openxmlformats.org/officeDocument/2006/relationships/hyperlink" Target="http://www.australiancurriculum.edu.au/mathematics/curriculum/f-10?y=2&amp;s=MG&amp;layout=1" TargetMode="External"/><Relationship Id="rId45" Type="http://schemas.openxmlformats.org/officeDocument/2006/relationships/hyperlink" Target="http://www.australiancurriculum.edu.au/mathematics/curriculum/f-10?y=2&amp;s=SP&amp;layout=1"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19" Type="http://schemas.openxmlformats.org/officeDocument/2006/relationships/hyperlink" Target="http://amsi.org.au/teacher_modules/Addition_and_subtraction.html" TargetMode="External"/><Relationship Id="rId31" Type="http://schemas.openxmlformats.org/officeDocument/2006/relationships/hyperlink" Target="http://www.amsi.org.au/teacher_modules/time.html" TargetMode="External"/><Relationship Id="rId44" Type="http://schemas.openxmlformats.org/officeDocument/2006/relationships/hyperlink" Target="http://www.amsi.org.au/teacher_modules/Data_Investigation_and_interpretationF-3.html" TargetMode="External"/><Relationship Id="rId52"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4" Type="http://schemas.openxmlformats.org/officeDocument/2006/relationships/webSettings" Target="webSettings.xml"/><Relationship Id="rId9" Type="http://schemas.openxmlformats.org/officeDocument/2006/relationships/hyperlink" Target="http://www.amsi.org.au" TargetMode="External"/><Relationship Id="rId14" Type="http://schemas.openxmlformats.org/officeDocument/2006/relationships/hyperlink" Target="http://www.amsi.org.au/teacher_modules/Counting_and_place_valueK-4.html" TargetMode="External"/><Relationship Id="rId22" Type="http://schemas.openxmlformats.org/officeDocument/2006/relationships/hyperlink" Target="http://www.australiancurriculum.edu.au/mathematics/curriculum/f-10?y=2&amp;s=NA&amp;layout=1" TargetMode="External"/><Relationship Id="rId27" Type="http://schemas.openxmlformats.org/officeDocument/2006/relationships/hyperlink" Target="http://www.australiancurriculum.edu.au/mathematics/curriculum/f-10?y=2&amp;s=NA&amp;layout=1" TargetMode="External"/><Relationship Id="rId30" Type="http://schemas.openxmlformats.org/officeDocument/2006/relationships/hyperlink" Target="http://www.australiancurriculum.edu.au/mathematics/curriculum/f-10?y=2&amp;s=MG&amp;layout=1" TargetMode="External"/><Relationship Id="rId35" Type="http://schemas.openxmlformats.org/officeDocument/2006/relationships/hyperlink" Target="http://www.amsi.org.au/teacher_modules/time.html" TargetMode="External"/><Relationship Id="rId43" Type="http://schemas.openxmlformats.org/officeDocument/2006/relationships/hyperlink" Target="http://www.australiancurriculum.edu.au/mathematics/curriculum/f-10?y=2&amp;s=SP&amp;layout=1" TargetMode="External"/><Relationship Id="rId48" Type="http://schemas.openxmlformats.org/officeDocument/2006/relationships/hyperlink" Target="http://www.amsi.org.au/teacher_modules/Data_Investigation_and_interpretationF-3.html" TargetMode="External"/><Relationship Id="rId8" Type="http://schemas.openxmlformats.org/officeDocument/2006/relationships/image" Target="media/image1.jpg"/><Relationship Id="rId51"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3" Type="http://schemas.openxmlformats.org/officeDocument/2006/relationships/settings" Target="settings.xml"/><Relationship Id="rId12" Type="http://schemas.openxmlformats.org/officeDocument/2006/relationships/hyperlink" Target="http://www.amsi.org.au/teacher_modules/Counting_and_place_valueK-4.html" TargetMode="External"/><Relationship Id="rId17" Type="http://schemas.openxmlformats.org/officeDocument/2006/relationships/hyperlink" Target="http://www.australiancurriculum.edu.au/mathematics/curriculum/f-10?y=2&amp;s=NA&amp;layout=1" TargetMode="External"/><Relationship Id="rId25" Type="http://schemas.openxmlformats.org/officeDocument/2006/relationships/hyperlink" Target="http://www.australiancurriculum.edu.au/mathematics/curriculum/f-10?y=2&amp;s=NA&amp;layout=1" TargetMode="External"/><Relationship Id="rId33" Type="http://schemas.openxmlformats.org/officeDocument/2006/relationships/hyperlink" Target="http://www.amsi.org.au/teacher_modules/time.html" TargetMode="External"/><Relationship Id="rId38" Type="http://schemas.openxmlformats.org/officeDocument/2006/relationships/hyperlink" Target="http://www.australiancurriculum.edu.au/mathematics/curriculum/f-10?y=2&amp;s=MG&amp;layout=1" TargetMode="External"/><Relationship Id="rId46" Type="http://schemas.openxmlformats.org/officeDocument/2006/relationships/hyperlink" Target="http://www.amsi.org.au/teacher_modules/Data_Investigation_and_interpretationF-3.html" TargetMode="External"/><Relationship Id="rId20" Type="http://schemas.openxmlformats.org/officeDocument/2006/relationships/hyperlink" Target="http://www.australiancurriculum.edu.au/mathematics/curriculum/f-10?y=2&amp;s=NA&amp;layout=1" TargetMode="External"/><Relationship Id="rId41" Type="http://schemas.openxmlformats.org/officeDocument/2006/relationships/hyperlink" Target="http://www.australiancurriculum.edu.au/mathematics/curriculum/f-10?y=2&amp;s=SP&amp;layout=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ustraliancurriculum.edu.au/mathematics/curriculum/f-10?y=2&amp;s=NA&amp;layout=1" TargetMode="External"/><Relationship Id="rId23" Type="http://schemas.openxmlformats.org/officeDocument/2006/relationships/hyperlink" Target="http://amsi.org.au/teacher_modules/multiplication_and_division.html" TargetMode="External"/><Relationship Id="rId28" Type="http://schemas.openxmlformats.org/officeDocument/2006/relationships/hyperlink" Target="http://www.australiancurriculum.edu.au/mathematics/curriculum/f-10?y=2&amp;s=MG&amp;layout=1" TargetMode="External"/><Relationship Id="rId36" Type="http://schemas.openxmlformats.org/officeDocument/2006/relationships/hyperlink" Target="http://www.australiancurriculum.edu.au/mathematics/curriculum/f-10?y=2&amp;s=MG&amp;layout=1" TargetMode="External"/><Relationship Id="rId49"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11</cp:revision>
  <dcterms:created xsi:type="dcterms:W3CDTF">2014-11-24T23:41:00Z</dcterms:created>
  <dcterms:modified xsi:type="dcterms:W3CDTF">2015-11-18T22:13:00Z</dcterms:modified>
</cp:coreProperties>
</file>