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193" w:rsidRPr="00754972" w:rsidRDefault="001703DA" w:rsidP="00F04F27">
      <w:pPr>
        <w:spacing w:after="0" w:line="240" w:lineRule="auto"/>
        <w:ind w:left="4988" w:firstLine="2932"/>
        <w:rPr>
          <w:b/>
          <w:color w:val="17365D" w:themeColor="text2" w:themeShade="BF"/>
          <w:sz w:val="28"/>
          <w:szCs w:val="28"/>
        </w:rPr>
      </w:pPr>
      <w:r>
        <w:rPr>
          <w:b/>
          <w:noProof/>
          <w:color w:val="17365D" w:themeColor="text2" w:themeShade="BF"/>
          <w:sz w:val="28"/>
          <w:szCs w:val="28"/>
          <w:lang w:val="en-US"/>
        </w:rPr>
        <w:drawing>
          <wp:anchor distT="0" distB="0" distL="114300" distR="114300" simplePos="0" relativeHeight="251660288" behindDoc="1" locked="0" layoutInCell="1" allowOverlap="1" wp14:anchorId="57510F41" wp14:editId="5BC3104C">
            <wp:simplePos x="0" y="0"/>
            <wp:positionH relativeFrom="column">
              <wp:posOffset>13507077</wp:posOffset>
            </wp:positionH>
            <wp:positionV relativeFrom="paragraph">
              <wp:posOffset>-270510</wp:posOffset>
            </wp:positionV>
            <wp:extent cx="1508760" cy="937895"/>
            <wp:effectExtent l="0" t="0" r="0" b="0"/>
            <wp:wrapTight wrapText="bothSides">
              <wp:wrapPolygon edited="0">
                <wp:start x="0" y="0"/>
                <wp:lineTo x="0" y="21059"/>
                <wp:lineTo x="21273" y="21059"/>
                <wp:lineTo x="21273" y="0"/>
                <wp:lineTo x="0" y="0"/>
              </wp:wrapPolygon>
            </wp:wrapTight>
            <wp:docPr id="2" name="Picture 2">
              <a:hlinkClick xmlns:a="http://schemas.openxmlformats.org/drawingml/2006/main" r:id="rId7" tooltip="The AMSI Schools Por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ate-logo1.jpg"/>
                    <pic:cNvPicPr/>
                  </pic:nvPicPr>
                  <pic:blipFill>
                    <a:blip r:embed="rId8">
                      <a:extLst>
                        <a:ext uri="{28A0092B-C50C-407E-A947-70E740481C1C}">
                          <a14:useLocalDpi xmlns:a14="http://schemas.microsoft.com/office/drawing/2010/main" val="0"/>
                        </a:ext>
                      </a:extLst>
                    </a:blip>
                    <a:stretch>
                      <a:fillRect/>
                    </a:stretch>
                  </pic:blipFill>
                  <pic:spPr>
                    <a:xfrm>
                      <a:off x="0" y="0"/>
                      <a:ext cx="1508760" cy="937895"/>
                    </a:xfrm>
                    <a:prstGeom prst="rect">
                      <a:avLst/>
                    </a:prstGeom>
                  </pic:spPr>
                </pic:pic>
              </a:graphicData>
            </a:graphic>
            <wp14:sizeRelH relativeFrom="page">
              <wp14:pctWidth>0</wp14:pctWidth>
            </wp14:sizeRelH>
            <wp14:sizeRelV relativeFrom="page">
              <wp14:pctHeight>0</wp14:pctHeight>
            </wp14:sizeRelV>
          </wp:anchor>
        </w:drawing>
      </w:r>
      <w:r w:rsidR="00C17FED">
        <w:rPr>
          <w:b/>
          <w:noProof/>
          <w:color w:val="17365D" w:themeColor="text2" w:themeShade="BF"/>
          <w:sz w:val="28"/>
          <w:szCs w:val="28"/>
          <w:lang w:val="en-US"/>
        </w:rPr>
        <w:drawing>
          <wp:anchor distT="0" distB="0" distL="114300" distR="114300" simplePos="0" relativeHeight="251658240" behindDoc="1" locked="0" layoutInCell="1" allowOverlap="1" wp14:anchorId="5380CC76" wp14:editId="0F309F04">
            <wp:simplePos x="0" y="0"/>
            <wp:positionH relativeFrom="column">
              <wp:posOffset>-90170</wp:posOffset>
            </wp:positionH>
            <wp:positionV relativeFrom="paragraph">
              <wp:posOffset>-282385</wp:posOffset>
            </wp:positionV>
            <wp:extent cx="1980541" cy="938150"/>
            <wp:effectExtent l="0" t="0" r="1270" b="0"/>
            <wp:wrapTight wrapText="bothSides">
              <wp:wrapPolygon edited="0">
                <wp:start x="0" y="0"/>
                <wp:lineTo x="0" y="21059"/>
                <wp:lineTo x="21406" y="21059"/>
                <wp:lineTo x="21406" y="0"/>
                <wp:lineTo x="0" y="0"/>
              </wp:wrapPolygon>
            </wp:wrapTight>
            <wp:docPr id="1" name="Picture 1">
              <a:hlinkClick xmlns:a="http://schemas.openxmlformats.org/drawingml/2006/main" r:id="rId9" tooltip="AMSI's main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i logo.jpg"/>
                    <pic:cNvPicPr/>
                  </pic:nvPicPr>
                  <pic:blipFill>
                    <a:blip r:embed="rId10">
                      <a:extLst>
                        <a:ext uri="{28A0092B-C50C-407E-A947-70E740481C1C}">
                          <a14:useLocalDpi xmlns:a14="http://schemas.microsoft.com/office/drawing/2010/main" val="0"/>
                        </a:ext>
                      </a:extLst>
                    </a:blip>
                    <a:stretch>
                      <a:fillRect/>
                    </a:stretch>
                  </pic:blipFill>
                  <pic:spPr>
                    <a:xfrm>
                      <a:off x="0" y="0"/>
                      <a:ext cx="1980541" cy="938150"/>
                    </a:xfrm>
                    <a:prstGeom prst="rect">
                      <a:avLst/>
                    </a:prstGeom>
                  </pic:spPr>
                </pic:pic>
              </a:graphicData>
            </a:graphic>
            <wp14:sizeRelH relativeFrom="page">
              <wp14:pctWidth>0</wp14:pctWidth>
            </wp14:sizeRelH>
            <wp14:sizeRelV relativeFrom="page">
              <wp14:pctHeight>0</wp14:pctHeight>
            </wp14:sizeRelV>
          </wp:anchor>
        </w:drawing>
      </w:r>
      <w:r w:rsidR="00995193">
        <w:rPr>
          <w:b/>
          <w:color w:val="17365D" w:themeColor="text2" w:themeShade="BF"/>
          <w:sz w:val="28"/>
          <w:szCs w:val="28"/>
        </w:rPr>
        <w:t>MATHEMATICS</w:t>
      </w:r>
      <w:r w:rsidR="00995193" w:rsidRPr="00405867">
        <w:rPr>
          <w:b/>
          <w:color w:val="17365D" w:themeColor="text2" w:themeShade="BF"/>
          <w:sz w:val="28"/>
          <w:szCs w:val="28"/>
        </w:rPr>
        <w:t xml:space="preserve"> SCOPE AND SEQUENCE</w:t>
      </w:r>
      <w:r w:rsidR="003B1EB5">
        <w:rPr>
          <w:b/>
          <w:color w:val="17365D" w:themeColor="text2" w:themeShade="BF"/>
          <w:sz w:val="28"/>
          <w:szCs w:val="28"/>
        </w:rPr>
        <w:t xml:space="preserve"> AUDIT: Year </w:t>
      </w:r>
      <w:r w:rsidR="006610D3">
        <w:rPr>
          <w:b/>
          <w:color w:val="17365D" w:themeColor="text2" w:themeShade="BF"/>
          <w:sz w:val="28"/>
          <w:szCs w:val="28"/>
        </w:rPr>
        <w:t>10A</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389"/>
        <w:gridCol w:w="1557"/>
        <w:gridCol w:w="3827"/>
      </w:tblGrid>
      <w:tr w:rsidR="00995193" w:rsidTr="00313D0F">
        <w:tc>
          <w:tcPr>
            <w:tcW w:w="1384" w:type="dxa"/>
          </w:tcPr>
          <w:p w:rsidR="00995193" w:rsidRDefault="00995193" w:rsidP="00995193">
            <w:pPr>
              <w:jc w:val="center"/>
              <w:rPr>
                <w:b/>
                <w:color w:val="17365D" w:themeColor="text2" w:themeShade="BF"/>
                <w:sz w:val="28"/>
                <w:szCs w:val="28"/>
              </w:rPr>
            </w:pPr>
            <w:r>
              <w:rPr>
                <w:b/>
                <w:color w:val="17365D" w:themeColor="text2" w:themeShade="BF"/>
                <w:sz w:val="28"/>
                <w:szCs w:val="28"/>
              </w:rPr>
              <w:t>School:</w:t>
            </w:r>
          </w:p>
        </w:tc>
        <w:tc>
          <w:tcPr>
            <w:tcW w:w="9389" w:type="dxa"/>
            <w:tcBorders>
              <w:bottom w:val="single" w:sz="4" w:space="0" w:color="auto"/>
            </w:tcBorders>
          </w:tcPr>
          <w:p w:rsidR="00995193" w:rsidRDefault="00995193" w:rsidP="00995193">
            <w:pPr>
              <w:jc w:val="center"/>
              <w:rPr>
                <w:b/>
                <w:color w:val="17365D" w:themeColor="text2" w:themeShade="BF"/>
                <w:sz w:val="28"/>
                <w:szCs w:val="28"/>
              </w:rPr>
            </w:pPr>
          </w:p>
        </w:tc>
        <w:tc>
          <w:tcPr>
            <w:tcW w:w="1557" w:type="dxa"/>
          </w:tcPr>
          <w:p w:rsidR="00995193" w:rsidRDefault="00995193" w:rsidP="00995193">
            <w:pPr>
              <w:jc w:val="center"/>
              <w:rPr>
                <w:b/>
                <w:color w:val="17365D" w:themeColor="text2" w:themeShade="BF"/>
                <w:sz w:val="28"/>
                <w:szCs w:val="28"/>
              </w:rPr>
            </w:pPr>
            <w:r>
              <w:rPr>
                <w:b/>
                <w:color w:val="17365D" w:themeColor="text2" w:themeShade="BF"/>
                <w:sz w:val="28"/>
                <w:szCs w:val="28"/>
              </w:rPr>
              <w:t>Date:</w:t>
            </w:r>
          </w:p>
        </w:tc>
        <w:tc>
          <w:tcPr>
            <w:tcW w:w="3827" w:type="dxa"/>
            <w:tcBorders>
              <w:bottom w:val="single" w:sz="4" w:space="0" w:color="auto"/>
            </w:tcBorders>
          </w:tcPr>
          <w:p w:rsidR="00995193" w:rsidRDefault="00995193" w:rsidP="00995193">
            <w:pPr>
              <w:jc w:val="center"/>
              <w:rPr>
                <w:b/>
                <w:color w:val="17365D" w:themeColor="text2" w:themeShade="BF"/>
                <w:sz w:val="28"/>
                <w:szCs w:val="28"/>
              </w:rPr>
            </w:pPr>
          </w:p>
        </w:tc>
      </w:tr>
    </w:tbl>
    <w:p w:rsidR="00995193" w:rsidRDefault="00995193" w:rsidP="00995193">
      <w:pPr>
        <w:spacing w:after="0" w:line="240" w:lineRule="auto"/>
        <w:rPr>
          <w:b/>
          <w:color w:val="17365D" w:themeColor="text2" w:themeShade="BF"/>
          <w:sz w:val="24"/>
          <w:szCs w:val="24"/>
        </w:rPr>
      </w:pPr>
    </w:p>
    <w:p w:rsidR="0085578D" w:rsidRPr="0085578D" w:rsidRDefault="0085578D" w:rsidP="0085578D">
      <w:pPr>
        <w:spacing w:after="0" w:line="240" w:lineRule="auto"/>
        <w:ind w:left="-567"/>
        <w:rPr>
          <w:b/>
          <w:color w:val="17365D" w:themeColor="text2" w:themeShade="BF"/>
          <w:sz w:val="24"/>
          <w:szCs w:val="24"/>
          <w:u w:val="single"/>
        </w:rPr>
      </w:pPr>
    </w:p>
    <w:tbl>
      <w:tblPr>
        <w:tblStyle w:val="TableGrid"/>
        <w:tblpPr w:leftFromText="180" w:rightFromText="180" w:vertAnchor="page" w:horzAnchor="margin" w:tblpXSpec="center" w:tblpY="1486"/>
        <w:tblW w:w="22265" w:type="dxa"/>
        <w:tblLook w:val="04A0" w:firstRow="1" w:lastRow="0" w:firstColumn="1" w:lastColumn="0" w:noHBand="0" w:noVBand="1"/>
      </w:tblPr>
      <w:tblGrid>
        <w:gridCol w:w="2660"/>
        <w:gridCol w:w="12899"/>
        <w:gridCol w:w="2552"/>
        <w:gridCol w:w="1339"/>
        <w:gridCol w:w="704"/>
        <w:gridCol w:w="703"/>
        <w:gridCol w:w="704"/>
        <w:gridCol w:w="704"/>
      </w:tblGrid>
      <w:tr w:rsidR="001D351E" w:rsidTr="00FA55DF">
        <w:trPr>
          <w:trHeight w:val="557"/>
        </w:trPr>
        <w:tc>
          <w:tcPr>
            <w:tcW w:w="15559" w:type="dxa"/>
            <w:gridSpan w:val="2"/>
            <w:shd w:val="clear" w:color="auto" w:fill="D99594" w:themeFill="accent2" w:themeFillTint="99"/>
            <w:vAlign w:val="center"/>
          </w:tcPr>
          <w:p w:rsidR="001D351E" w:rsidRPr="00647AB6" w:rsidRDefault="001D351E" w:rsidP="00C010C4">
            <w:pPr>
              <w:jc w:val="center"/>
              <w:rPr>
                <w:b/>
                <w:sz w:val="28"/>
                <w:szCs w:val="28"/>
              </w:rPr>
            </w:pPr>
            <w:r>
              <w:rPr>
                <w:b/>
                <w:sz w:val="28"/>
                <w:szCs w:val="28"/>
              </w:rPr>
              <w:t xml:space="preserve">NUMBER AND ALGEBRA </w:t>
            </w:r>
          </w:p>
        </w:tc>
        <w:tc>
          <w:tcPr>
            <w:tcW w:w="2552" w:type="dxa"/>
            <w:shd w:val="clear" w:color="auto" w:fill="D99594" w:themeFill="accent2" w:themeFillTint="99"/>
            <w:vAlign w:val="center"/>
          </w:tcPr>
          <w:p w:rsidR="001D351E" w:rsidRPr="00647AB6" w:rsidRDefault="001D351E" w:rsidP="00FA55DF">
            <w:pPr>
              <w:jc w:val="center"/>
              <w:rPr>
                <w:b/>
              </w:rPr>
            </w:pPr>
            <w:r>
              <w:rPr>
                <w:b/>
              </w:rPr>
              <w:t>TIMES</w:t>
            </w:r>
          </w:p>
        </w:tc>
        <w:tc>
          <w:tcPr>
            <w:tcW w:w="1339" w:type="dxa"/>
            <w:shd w:val="clear" w:color="auto" w:fill="D99594" w:themeFill="accent2" w:themeFillTint="99"/>
            <w:vAlign w:val="center"/>
          </w:tcPr>
          <w:p w:rsidR="001D351E" w:rsidRPr="00647AB6" w:rsidRDefault="001D351E" w:rsidP="00FA55DF">
            <w:pPr>
              <w:jc w:val="center"/>
              <w:rPr>
                <w:b/>
              </w:rPr>
            </w:pPr>
            <w:r>
              <w:rPr>
                <w:b/>
              </w:rPr>
              <w:t>SAM</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1</w:t>
            </w:r>
          </w:p>
        </w:tc>
        <w:tc>
          <w:tcPr>
            <w:tcW w:w="703"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2</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3</w:t>
            </w:r>
          </w:p>
        </w:tc>
        <w:tc>
          <w:tcPr>
            <w:tcW w:w="704" w:type="dxa"/>
            <w:shd w:val="clear" w:color="auto" w:fill="D99594" w:themeFill="accent2" w:themeFillTint="99"/>
            <w:vAlign w:val="center"/>
          </w:tcPr>
          <w:p w:rsidR="001D351E" w:rsidRPr="00523CF9" w:rsidRDefault="001D351E" w:rsidP="00C010C4">
            <w:pPr>
              <w:jc w:val="center"/>
              <w:rPr>
                <w:b/>
                <w:sz w:val="16"/>
                <w:szCs w:val="16"/>
              </w:rPr>
            </w:pPr>
            <w:r w:rsidRPr="00523CF9">
              <w:rPr>
                <w:b/>
                <w:sz w:val="16"/>
                <w:szCs w:val="16"/>
              </w:rPr>
              <w:t>Term 4</w:t>
            </w:r>
          </w:p>
        </w:tc>
      </w:tr>
      <w:tr w:rsidR="001D351E" w:rsidTr="006B3DED">
        <w:trPr>
          <w:trHeight w:val="401"/>
        </w:trPr>
        <w:tc>
          <w:tcPr>
            <w:tcW w:w="2660" w:type="dxa"/>
            <w:vAlign w:val="center"/>
          </w:tcPr>
          <w:p w:rsidR="001D351E" w:rsidRPr="008117D3" w:rsidRDefault="00790C91" w:rsidP="00C010C4">
            <w:pPr>
              <w:jc w:val="center"/>
              <w:rPr>
                <w:sz w:val="20"/>
                <w:szCs w:val="20"/>
              </w:rPr>
            </w:pPr>
            <w:r>
              <w:rPr>
                <w:sz w:val="20"/>
                <w:szCs w:val="20"/>
              </w:rPr>
              <w:t>Real Numbers</w:t>
            </w:r>
          </w:p>
        </w:tc>
        <w:tc>
          <w:tcPr>
            <w:tcW w:w="12899" w:type="dxa"/>
            <w:vAlign w:val="center"/>
          </w:tcPr>
          <w:p w:rsidR="001D351E" w:rsidRPr="00265F4E" w:rsidRDefault="00686206" w:rsidP="00DE55DA">
            <w:pPr>
              <w:rPr>
                <w:b/>
                <w:i/>
                <w:sz w:val="18"/>
                <w:szCs w:val="18"/>
              </w:rPr>
            </w:pPr>
            <w:hyperlink r:id="rId11" w:tooltip="Elaborations: 1) understanding that the real number system includes irrational numbers, 2) extending the index laws to rational number indices, 3) performing the four operations with surds" w:history="1">
              <w:r w:rsidR="00790C91" w:rsidRPr="00265F4E">
                <w:rPr>
                  <w:rStyle w:val="Hyperlink"/>
                  <w:rFonts w:ascii="Helvetica" w:hAnsi="Helvetica" w:cs="Helvetica"/>
                  <w:color w:val="auto"/>
                  <w:sz w:val="20"/>
                  <w:szCs w:val="20"/>
                  <w:u w:val="none"/>
                  <w:shd w:val="clear" w:color="auto" w:fill="FFFFFF"/>
                </w:rPr>
                <w:t>Define rational and irrational numbers and perform operations with surds and fractional indices (ACMNA264)</w:t>
              </w:r>
            </w:hyperlink>
          </w:p>
        </w:tc>
        <w:tc>
          <w:tcPr>
            <w:tcW w:w="2552" w:type="dxa"/>
          </w:tcPr>
          <w:p w:rsidR="00214CA2" w:rsidRDefault="00686206" w:rsidP="00214CA2">
            <w:pPr>
              <w:jc w:val="center"/>
              <w:rPr>
                <w:rStyle w:val="Hyperlink"/>
                <w:b/>
                <w:i/>
                <w:color w:val="00B050"/>
                <w:sz w:val="18"/>
                <w:szCs w:val="18"/>
              </w:rPr>
            </w:pPr>
            <w:hyperlink r:id="rId12" w:history="1">
              <w:r w:rsidR="00214CA2" w:rsidRPr="000E39FB">
                <w:rPr>
                  <w:rStyle w:val="Hyperlink"/>
                  <w:rFonts w:cs="Arial"/>
                  <w:b/>
                  <w:i/>
                  <w:color w:val="00B050"/>
                  <w:sz w:val="18"/>
                  <w:szCs w:val="18"/>
                  <w:lang w:eastAsia="en-AU"/>
                </w:rPr>
                <w:t>TIMESNA27</w:t>
              </w:r>
            </w:hyperlink>
            <w:r w:rsidR="00214CA2" w:rsidRPr="00214CA2">
              <w:rPr>
                <w:rStyle w:val="Hyperlink"/>
                <w:rFonts w:cs="Arial"/>
                <w:b/>
                <w:i/>
                <w:color w:val="00B050"/>
                <w:sz w:val="18"/>
                <w:szCs w:val="18"/>
                <w:u w:val="none"/>
                <w:lang w:eastAsia="en-AU"/>
              </w:rPr>
              <w:t xml:space="preserve">   </w:t>
            </w:r>
            <w:r w:rsidR="00214CA2" w:rsidRPr="000E39FB">
              <w:rPr>
                <w:rFonts w:cs="Arial"/>
                <w:b/>
                <w:i/>
                <w:color w:val="00B050"/>
                <w:sz w:val="18"/>
                <w:szCs w:val="18"/>
                <w:lang w:eastAsia="en-AU"/>
              </w:rPr>
              <w:t xml:space="preserve"> </w:t>
            </w:r>
            <w:hyperlink r:id="rId13" w:history="1">
              <w:r w:rsidR="00214CA2" w:rsidRPr="000E39FB">
                <w:rPr>
                  <w:rStyle w:val="Hyperlink"/>
                  <w:b/>
                  <w:i/>
                  <w:color w:val="00B050"/>
                  <w:sz w:val="18"/>
                  <w:szCs w:val="18"/>
                </w:rPr>
                <w:t>TIMESNA28</w:t>
              </w:r>
            </w:hyperlink>
          </w:p>
          <w:p w:rsidR="001D351E" w:rsidRDefault="00214CA2" w:rsidP="00214CA2">
            <w:pPr>
              <w:jc w:val="center"/>
            </w:pPr>
            <w:r w:rsidRPr="000E39FB">
              <w:rPr>
                <w:b/>
                <w:i/>
                <w:color w:val="00B050"/>
                <w:sz w:val="18"/>
                <w:szCs w:val="18"/>
              </w:rPr>
              <w:t xml:space="preserve"> </w:t>
            </w:r>
            <w:r w:rsidRPr="000E39FB">
              <w:rPr>
                <w:rFonts w:cs="Arial"/>
                <w:b/>
                <w:i/>
                <w:color w:val="00B050"/>
                <w:sz w:val="18"/>
                <w:szCs w:val="18"/>
                <w:lang w:eastAsia="en-AU"/>
              </w:rPr>
              <w:t xml:space="preserve"> </w:t>
            </w:r>
            <w:hyperlink r:id="rId14" w:history="1">
              <w:r w:rsidRPr="000E39FB">
                <w:rPr>
                  <w:rStyle w:val="Hyperlink"/>
                  <w:b/>
                  <w:i/>
                  <w:color w:val="00B050"/>
                  <w:sz w:val="18"/>
                  <w:szCs w:val="18"/>
                </w:rPr>
                <w:t>TIMESNA31</w:t>
              </w:r>
            </w:hyperlink>
          </w:p>
        </w:tc>
        <w:tc>
          <w:tcPr>
            <w:tcW w:w="1339" w:type="dxa"/>
          </w:tcPr>
          <w:p w:rsidR="001D351E" w:rsidRDefault="001D351E" w:rsidP="00C010C4">
            <w:pPr>
              <w:jc w:val="center"/>
            </w:pPr>
          </w:p>
        </w:tc>
        <w:sdt>
          <w:sdtPr>
            <w:id w:val="794259211"/>
            <w14:checkbox>
              <w14:checked w14:val="0"/>
              <w14:checkedState w14:val="2612" w14:font="MS Gothic"/>
              <w14:uncheckedState w14:val="2610" w14:font="MS Gothic"/>
            </w14:checkbox>
          </w:sdtPr>
          <w:sdtEndPr/>
          <w:sdtContent>
            <w:tc>
              <w:tcPr>
                <w:tcW w:w="704" w:type="dxa"/>
                <w:vAlign w:val="center"/>
              </w:tcPr>
              <w:p w:rsidR="001D351E" w:rsidRDefault="00523CF9" w:rsidP="00C010C4">
                <w:pPr>
                  <w:jc w:val="center"/>
                </w:pPr>
                <w:r>
                  <w:rPr>
                    <w:rFonts w:ascii="MS Gothic" w:eastAsia="MS Gothic" w:hAnsi="MS Gothic" w:hint="eastAsia"/>
                  </w:rPr>
                  <w:t>☐</w:t>
                </w:r>
              </w:p>
            </w:tc>
          </w:sdtContent>
        </w:sdt>
        <w:sdt>
          <w:sdtPr>
            <w:id w:val="145351087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28897424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90824765"/>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265F4E" w:rsidRDefault="00686206" w:rsidP="00DE55DA">
            <w:pPr>
              <w:rPr>
                <w:sz w:val="18"/>
                <w:szCs w:val="18"/>
              </w:rPr>
            </w:pPr>
            <w:hyperlink r:id="rId15" w:tooltip="Elaborations: 1) Use the definition of a logarithm to establish and apply the laws of logarithms, 2) investigating the relationship between exponential and logarithmic expressions, 2) simplifying expressions using the logarithm laws" w:history="1">
              <w:r w:rsidR="00790C91" w:rsidRPr="00265F4E">
                <w:rPr>
                  <w:rStyle w:val="Hyperlink"/>
                  <w:rFonts w:ascii="Helvetica" w:hAnsi="Helvetica" w:cs="Helvetica"/>
                  <w:color w:val="auto"/>
                  <w:sz w:val="20"/>
                  <w:szCs w:val="20"/>
                  <w:u w:val="none"/>
                  <w:shd w:val="clear" w:color="auto" w:fill="FFFFFF"/>
                </w:rPr>
                <w:t>Use the definition of a logarithm to establish and apply the laws of logarithms(ACMNA265)</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201344008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93055309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1882883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5850487"/>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790C91" w:rsidP="00C010C4">
            <w:pPr>
              <w:jc w:val="center"/>
              <w:rPr>
                <w:sz w:val="20"/>
                <w:szCs w:val="20"/>
              </w:rPr>
            </w:pPr>
            <w:r>
              <w:rPr>
                <w:sz w:val="20"/>
                <w:szCs w:val="20"/>
              </w:rPr>
              <w:t>Patterns &amp; Algebra</w:t>
            </w:r>
          </w:p>
        </w:tc>
        <w:tc>
          <w:tcPr>
            <w:tcW w:w="12899" w:type="dxa"/>
            <w:vAlign w:val="center"/>
          </w:tcPr>
          <w:p w:rsidR="001D351E" w:rsidRPr="00265F4E" w:rsidRDefault="00686206" w:rsidP="00DE55DA">
            <w:pPr>
              <w:rPr>
                <w:b/>
                <w:i/>
                <w:sz w:val="18"/>
                <w:szCs w:val="18"/>
              </w:rPr>
            </w:pPr>
            <w:hyperlink r:id="rId16" w:tooltip="Elaborations: investigating the relationship between algebraic long division and the factor and remainder theorems" w:history="1">
              <w:r w:rsidR="00790C91" w:rsidRPr="00265F4E">
                <w:rPr>
                  <w:rStyle w:val="Hyperlink"/>
                  <w:rFonts w:ascii="Helvetica" w:hAnsi="Helvetica" w:cs="Helvetica"/>
                  <w:color w:val="auto"/>
                  <w:sz w:val="20"/>
                  <w:szCs w:val="20"/>
                  <w:u w:val="none"/>
                  <w:shd w:val="clear" w:color="auto" w:fill="FFFFFF"/>
                </w:rPr>
                <w:t>Investigate the concept of a polynomial and apply the factor and remainder theorems to solve problems (ACMNA266)</w:t>
              </w:r>
            </w:hyperlink>
          </w:p>
        </w:tc>
        <w:tc>
          <w:tcPr>
            <w:tcW w:w="2552" w:type="dxa"/>
          </w:tcPr>
          <w:p w:rsidR="001D351E" w:rsidRDefault="00686206" w:rsidP="00C010C4">
            <w:pPr>
              <w:jc w:val="center"/>
            </w:pPr>
            <w:hyperlink r:id="rId17" w:history="1">
              <w:r w:rsidR="00214CA2" w:rsidRPr="000E39FB">
                <w:rPr>
                  <w:rStyle w:val="Hyperlink"/>
                  <w:rFonts w:cs="Arial"/>
                  <w:b/>
                  <w:i/>
                  <w:color w:val="00B050"/>
                  <w:sz w:val="18"/>
                  <w:lang w:eastAsia="en-AU"/>
                </w:rPr>
                <w:t>TIMESNA39</w:t>
              </w:r>
            </w:hyperlink>
          </w:p>
        </w:tc>
        <w:tc>
          <w:tcPr>
            <w:tcW w:w="1339" w:type="dxa"/>
          </w:tcPr>
          <w:p w:rsidR="001D351E" w:rsidRDefault="001D351E" w:rsidP="00C010C4">
            <w:pPr>
              <w:jc w:val="center"/>
            </w:pPr>
          </w:p>
        </w:tc>
        <w:sdt>
          <w:sdtPr>
            <w:id w:val="-161558886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905877798"/>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82435638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2013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790C91" w:rsidP="00C010C4">
            <w:pPr>
              <w:jc w:val="center"/>
              <w:rPr>
                <w:sz w:val="20"/>
                <w:szCs w:val="20"/>
              </w:rPr>
            </w:pPr>
            <w:r>
              <w:rPr>
                <w:sz w:val="20"/>
                <w:szCs w:val="20"/>
              </w:rPr>
              <w:t>Linear &amp; non-linear relationships</w:t>
            </w:r>
          </w:p>
        </w:tc>
        <w:tc>
          <w:tcPr>
            <w:tcW w:w="12899" w:type="dxa"/>
            <w:vAlign w:val="center"/>
          </w:tcPr>
          <w:p w:rsidR="001D351E" w:rsidRPr="00265F4E" w:rsidRDefault="00686206" w:rsidP="00DE55DA">
            <w:pPr>
              <w:rPr>
                <w:sz w:val="18"/>
                <w:szCs w:val="18"/>
              </w:rPr>
            </w:pPr>
            <w:hyperlink r:id="rId18" w:tooltip="Elaborations: investigating exponential equations derived from authentic mathematical models based on population growth" w:history="1">
              <w:r w:rsidR="00790C91" w:rsidRPr="00265F4E">
                <w:rPr>
                  <w:rStyle w:val="Hyperlink"/>
                  <w:rFonts w:ascii="Helvetica" w:hAnsi="Helvetica" w:cs="Helvetica"/>
                  <w:color w:val="auto"/>
                  <w:sz w:val="20"/>
                  <w:szCs w:val="20"/>
                  <w:u w:val="none"/>
                  <w:shd w:val="clear" w:color="auto" w:fill="FFFFFF"/>
                </w:rPr>
                <w:t>Solve simple exponential equations (ACMNA270)</w:t>
              </w:r>
            </w:hyperlink>
          </w:p>
        </w:tc>
        <w:tc>
          <w:tcPr>
            <w:tcW w:w="2552" w:type="dxa"/>
          </w:tcPr>
          <w:p w:rsidR="001D351E" w:rsidRDefault="001D351E" w:rsidP="00C010C4">
            <w:pPr>
              <w:jc w:val="center"/>
            </w:pPr>
          </w:p>
        </w:tc>
        <w:tc>
          <w:tcPr>
            <w:tcW w:w="1339" w:type="dxa"/>
          </w:tcPr>
          <w:p w:rsidR="001D351E" w:rsidRDefault="001D351E" w:rsidP="00C010C4">
            <w:pPr>
              <w:jc w:val="center"/>
            </w:pPr>
          </w:p>
        </w:tc>
        <w:sdt>
          <w:sdtPr>
            <w:id w:val="-144653764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84386462"/>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84027224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645795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Pr="008117D3" w:rsidRDefault="001D351E" w:rsidP="00C010C4">
            <w:pPr>
              <w:jc w:val="center"/>
              <w:rPr>
                <w:sz w:val="20"/>
                <w:szCs w:val="20"/>
              </w:rPr>
            </w:pPr>
          </w:p>
        </w:tc>
        <w:tc>
          <w:tcPr>
            <w:tcW w:w="12899" w:type="dxa"/>
            <w:vAlign w:val="center"/>
          </w:tcPr>
          <w:p w:rsidR="001D351E" w:rsidRPr="00265F4E" w:rsidRDefault="00686206" w:rsidP="00DE55DA">
            <w:pPr>
              <w:rPr>
                <w:rFonts w:eastAsia="HelveticaNeueLTStd-Lt-Identity-" w:cstheme="minorHAnsi"/>
                <w:b/>
                <w:i/>
                <w:sz w:val="18"/>
                <w:szCs w:val="18"/>
              </w:rPr>
            </w:pPr>
            <w:hyperlink r:id="rId19" w:tooltip="Elaborations: applying transformations, including translations, reflections in the axes and stretches to help graph parabolas, rectangular hyperbolas, circles and exponential functions" w:history="1">
              <w:r w:rsidR="00790C91" w:rsidRPr="00265F4E">
                <w:rPr>
                  <w:rStyle w:val="Hyperlink"/>
                  <w:rFonts w:ascii="Helvetica" w:hAnsi="Helvetica" w:cs="Helvetica"/>
                  <w:color w:val="auto"/>
                  <w:sz w:val="20"/>
                  <w:szCs w:val="20"/>
                  <w:u w:val="none"/>
                  <w:shd w:val="clear" w:color="auto" w:fill="FFFFFF"/>
                </w:rPr>
                <w:t>Describe, interpret and sketch parabolas, hyperbolas, circles and exponential functions and their transformations (ACMNA267)</w:t>
              </w:r>
            </w:hyperlink>
          </w:p>
        </w:tc>
        <w:tc>
          <w:tcPr>
            <w:tcW w:w="2552" w:type="dxa"/>
          </w:tcPr>
          <w:p w:rsidR="001D351E" w:rsidRDefault="00686206" w:rsidP="00C010C4">
            <w:pPr>
              <w:jc w:val="center"/>
            </w:pPr>
            <w:hyperlink r:id="rId20" w:history="1">
              <w:r w:rsidR="00214CA2" w:rsidRPr="000E39FB">
                <w:rPr>
                  <w:rStyle w:val="Hyperlink"/>
                  <w:rFonts w:cs="Arial"/>
                  <w:b/>
                  <w:i/>
                  <w:color w:val="00B050"/>
                  <w:sz w:val="18"/>
                  <w:lang w:eastAsia="en-AU"/>
                </w:rPr>
                <w:t>TIMESNA35</w:t>
              </w:r>
            </w:hyperlink>
          </w:p>
        </w:tc>
        <w:tc>
          <w:tcPr>
            <w:tcW w:w="1339" w:type="dxa"/>
          </w:tcPr>
          <w:p w:rsidR="001D351E" w:rsidRDefault="001D351E" w:rsidP="00C010C4">
            <w:pPr>
              <w:jc w:val="center"/>
            </w:pPr>
          </w:p>
        </w:tc>
        <w:sdt>
          <w:sdtPr>
            <w:id w:val="-786120652"/>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5890226"/>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98137566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209876270"/>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265F4E" w:rsidRDefault="00686206" w:rsidP="00DE55DA">
            <w:pPr>
              <w:rPr>
                <w:rFonts w:eastAsia="HelveticaNeueLTStd-Lt-Identity-" w:cstheme="minorHAnsi"/>
                <w:b/>
                <w:i/>
                <w:sz w:val="18"/>
                <w:szCs w:val="18"/>
              </w:rPr>
            </w:pPr>
            <w:hyperlink r:id="rId21" w:tooltip="Elaborations: investigating the features of graphs of polynomials including axes intercepts and the effect of repeated factors" w:history="1">
              <w:r w:rsidR="00790C91" w:rsidRPr="00265F4E">
                <w:rPr>
                  <w:rStyle w:val="Hyperlink"/>
                  <w:rFonts w:ascii="Helvetica" w:hAnsi="Helvetica" w:cs="Helvetica"/>
                  <w:color w:val="auto"/>
                  <w:sz w:val="20"/>
                  <w:szCs w:val="20"/>
                  <w:u w:val="none"/>
                  <w:shd w:val="clear" w:color="auto" w:fill="FFFFFF"/>
                </w:rPr>
                <w:t>Apply understanding of polynomials to sketch a range of curves and describe the features of these curves from their equation (ACMNA268)</w:t>
              </w:r>
            </w:hyperlink>
          </w:p>
        </w:tc>
        <w:tc>
          <w:tcPr>
            <w:tcW w:w="2552" w:type="dxa"/>
          </w:tcPr>
          <w:p w:rsidR="001D351E" w:rsidRDefault="00686206" w:rsidP="00C010C4">
            <w:pPr>
              <w:jc w:val="center"/>
            </w:pPr>
            <w:hyperlink r:id="rId22" w:history="1">
              <w:r w:rsidR="00214CA2" w:rsidRPr="000E39FB">
                <w:rPr>
                  <w:rStyle w:val="Hyperlink"/>
                  <w:rFonts w:cs="Arial"/>
                  <w:b/>
                  <w:i/>
                  <w:color w:val="00B050"/>
                  <w:sz w:val="18"/>
                  <w:lang w:eastAsia="en-AU"/>
                </w:rPr>
                <w:t>TIMESNA39</w:t>
              </w:r>
            </w:hyperlink>
          </w:p>
        </w:tc>
        <w:tc>
          <w:tcPr>
            <w:tcW w:w="1339" w:type="dxa"/>
          </w:tcPr>
          <w:p w:rsidR="001D351E" w:rsidRDefault="001D351E" w:rsidP="00C010C4">
            <w:pPr>
              <w:jc w:val="center"/>
            </w:pPr>
          </w:p>
        </w:tc>
        <w:sdt>
          <w:sdtPr>
            <w:id w:val="-142449548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2041660604"/>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412002774"/>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15759208"/>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c>
          <w:tcPr>
            <w:tcW w:w="2660" w:type="dxa"/>
            <w:vAlign w:val="center"/>
          </w:tcPr>
          <w:p w:rsidR="001D351E" w:rsidRDefault="001D351E" w:rsidP="00C010C4">
            <w:pPr>
              <w:jc w:val="center"/>
              <w:rPr>
                <w:sz w:val="20"/>
                <w:szCs w:val="20"/>
              </w:rPr>
            </w:pPr>
          </w:p>
        </w:tc>
        <w:tc>
          <w:tcPr>
            <w:tcW w:w="12899" w:type="dxa"/>
            <w:vAlign w:val="center"/>
          </w:tcPr>
          <w:p w:rsidR="001D351E" w:rsidRPr="00265F4E" w:rsidRDefault="00686206" w:rsidP="00DE55DA">
            <w:pPr>
              <w:rPr>
                <w:rFonts w:eastAsia="HelveticaNeueLTStd-Lt-Identity-" w:cstheme="minorHAnsi"/>
                <w:b/>
                <w:i/>
                <w:sz w:val="18"/>
                <w:szCs w:val="18"/>
              </w:rPr>
            </w:pPr>
            <w:hyperlink r:id="rId23" w:tooltip="Elaborations: writing quadratic equations that represent practical problems" w:history="1">
              <w:r w:rsidR="00790C91" w:rsidRPr="00265F4E">
                <w:rPr>
                  <w:rStyle w:val="Hyperlink"/>
                  <w:rFonts w:ascii="Helvetica" w:hAnsi="Helvetica" w:cs="Helvetica"/>
                  <w:color w:val="auto"/>
                  <w:sz w:val="20"/>
                  <w:szCs w:val="20"/>
                  <w:u w:val="none"/>
                  <w:shd w:val="clear" w:color="auto" w:fill="FFFFFF"/>
                </w:rPr>
                <w:t>Factorise monic and non-monic quadratic expressions and solve a wide range of quadratic equations derived from a variety of contexts (ACMNA269)</w:t>
              </w:r>
            </w:hyperlink>
          </w:p>
        </w:tc>
        <w:tc>
          <w:tcPr>
            <w:tcW w:w="2552" w:type="dxa"/>
          </w:tcPr>
          <w:p w:rsidR="00214CA2" w:rsidRDefault="00686206" w:rsidP="00214CA2">
            <w:pPr>
              <w:jc w:val="center"/>
              <w:rPr>
                <w:rStyle w:val="Hyperlink"/>
                <w:b/>
                <w:i/>
                <w:color w:val="00B050"/>
                <w:sz w:val="18"/>
                <w:szCs w:val="18"/>
              </w:rPr>
            </w:pPr>
            <w:hyperlink r:id="rId24" w:history="1">
              <w:r w:rsidR="00214CA2" w:rsidRPr="000E39FB">
                <w:rPr>
                  <w:rStyle w:val="Hyperlink"/>
                  <w:rFonts w:cs="Arial"/>
                  <w:b/>
                  <w:i/>
                  <w:color w:val="00B050"/>
                  <w:sz w:val="18"/>
                  <w:szCs w:val="18"/>
                  <w:lang w:eastAsia="en-AU"/>
                </w:rPr>
                <w:t>TIMESNA33</w:t>
              </w:r>
            </w:hyperlink>
            <w:r w:rsidR="00214CA2" w:rsidRPr="00214CA2">
              <w:rPr>
                <w:rStyle w:val="Hyperlink"/>
                <w:rFonts w:cs="Arial"/>
                <w:b/>
                <w:i/>
                <w:color w:val="00B050"/>
                <w:sz w:val="18"/>
                <w:szCs w:val="18"/>
                <w:u w:val="none"/>
                <w:lang w:eastAsia="en-AU"/>
              </w:rPr>
              <w:t xml:space="preserve">   </w:t>
            </w:r>
            <w:r w:rsidR="00214CA2">
              <w:rPr>
                <w:rFonts w:cs="Arial"/>
                <w:b/>
                <w:i/>
                <w:color w:val="00B050"/>
                <w:sz w:val="18"/>
                <w:szCs w:val="18"/>
                <w:lang w:eastAsia="en-AU"/>
              </w:rPr>
              <w:t xml:space="preserve"> </w:t>
            </w:r>
            <w:hyperlink r:id="rId25" w:history="1">
              <w:r w:rsidR="00214CA2" w:rsidRPr="000E39FB">
                <w:rPr>
                  <w:rStyle w:val="Hyperlink"/>
                  <w:b/>
                  <w:i/>
                  <w:color w:val="00B050"/>
                  <w:sz w:val="18"/>
                  <w:szCs w:val="18"/>
                </w:rPr>
                <w:t>TIMESNA34</w:t>
              </w:r>
            </w:hyperlink>
          </w:p>
          <w:p w:rsidR="001D351E" w:rsidRDefault="00686206" w:rsidP="00214CA2">
            <w:pPr>
              <w:jc w:val="center"/>
            </w:pPr>
            <w:hyperlink r:id="rId26" w:history="1">
              <w:r w:rsidR="00214CA2" w:rsidRPr="000E39FB">
                <w:rPr>
                  <w:rStyle w:val="Hyperlink"/>
                  <w:b/>
                  <w:i/>
                  <w:color w:val="00B050"/>
                  <w:sz w:val="18"/>
                  <w:szCs w:val="18"/>
                </w:rPr>
                <w:t>TIMESNA35</w:t>
              </w:r>
            </w:hyperlink>
          </w:p>
        </w:tc>
        <w:tc>
          <w:tcPr>
            <w:tcW w:w="1339" w:type="dxa"/>
          </w:tcPr>
          <w:p w:rsidR="001D351E" w:rsidRDefault="001D351E" w:rsidP="00C010C4">
            <w:pPr>
              <w:jc w:val="center"/>
            </w:pPr>
          </w:p>
        </w:tc>
        <w:sdt>
          <w:sdtPr>
            <w:id w:val="-725370886"/>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1569955827"/>
            <w14:checkbox>
              <w14:checked w14:val="0"/>
              <w14:checkedState w14:val="2612" w14:font="MS Gothic"/>
              <w14:uncheckedState w14:val="2610" w14:font="MS Gothic"/>
            </w14:checkbox>
          </w:sdtPr>
          <w:sdtEndPr/>
          <w:sdtContent>
            <w:tc>
              <w:tcPr>
                <w:tcW w:w="703" w:type="dxa"/>
                <w:vAlign w:val="center"/>
              </w:tcPr>
              <w:p w:rsidR="001D351E" w:rsidRDefault="001D351E" w:rsidP="00C010C4">
                <w:pPr>
                  <w:jc w:val="center"/>
                </w:pPr>
                <w:r>
                  <w:rPr>
                    <w:rFonts w:ascii="MS Gothic" w:eastAsia="MS Gothic" w:hAnsi="MS Gothic" w:hint="eastAsia"/>
                  </w:rPr>
                  <w:t>☐</w:t>
                </w:r>
              </w:p>
            </w:tc>
          </w:sdtContent>
        </w:sdt>
        <w:sdt>
          <w:sdtPr>
            <w:id w:val="157355653"/>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sdt>
          <w:sdtPr>
            <w:id w:val="527993569"/>
            <w14:checkbox>
              <w14:checked w14:val="0"/>
              <w14:checkedState w14:val="2612" w14:font="MS Gothic"/>
              <w14:uncheckedState w14:val="2610" w14:font="MS Gothic"/>
            </w14:checkbox>
          </w:sdtPr>
          <w:sdtEndPr/>
          <w:sdtContent>
            <w:tc>
              <w:tcPr>
                <w:tcW w:w="704" w:type="dxa"/>
                <w:vAlign w:val="center"/>
              </w:tcPr>
              <w:p w:rsidR="001D351E" w:rsidRDefault="001D351E" w:rsidP="00C010C4">
                <w:pPr>
                  <w:jc w:val="center"/>
                </w:pPr>
                <w:r>
                  <w:rPr>
                    <w:rFonts w:ascii="MS Gothic" w:eastAsia="MS Gothic" w:hAnsi="MS Gothic" w:hint="eastAsia"/>
                  </w:rPr>
                  <w:t>☐</w:t>
                </w:r>
              </w:p>
            </w:tc>
          </w:sdtContent>
        </w:sdt>
      </w:tr>
      <w:tr w:rsidR="001D351E" w:rsidTr="006B3DED">
        <w:trPr>
          <w:trHeight w:val="280"/>
        </w:trPr>
        <w:tc>
          <w:tcPr>
            <w:tcW w:w="15559" w:type="dxa"/>
            <w:gridSpan w:val="2"/>
            <w:shd w:val="clear" w:color="auto" w:fill="D99594" w:themeFill="accent2" w:themeFillTint="99"/>
            <w:vAlign w:val="center"/>
          </w:tcPr>
          <w:p w:rsidR="001D351E" w:rsidRPr="008117D3" w:rsidRDefault="001D351E" w:rsidP="006A023E">
            <w:pPr>
              <w:jc w:val="center"/>
              <w:rPr>
                <w:b/>
                <w:sz w:val="28"/>
                <w:szCs w:val="28"/>
              </w:rPr>
            </w:pPr>
            <w:r>
              <w:rPr>
                <w:b/>
                <w:sz w:val="28"/>
                <w:szCs w:val="28"/>
              </w:rPr>
              <w:t>MEASUREMENT AND GEOMETRY</w:t>
            </w:r>
          </w:p>
        </w:tc>
        <w:tc>
          <w:tcPr>
            <w:tcW w:w="2552" w:type="dxa"/>
            <w:shd w:val="clear" w:color="auto" w:fill="D99594" w:themeFill="accent2" w:themeFillTint="99"/>
          </w:tcPr>
          <w:p w:rsidR="001D351E" w:rsidRDefault="001D351E" w:rsidP="00C010C4">
            <w:pPr>
              <w:jc w:val="center"/>
              <w:rPr>
                <w:b/>
              </w:rPr>
            </w:pPr>
          </w:p>
        </w:tc>
        <w:tc>
          <w:tcPr>
            <w:tcW w:w="1339" w:type="dxa"/>
            <w:shd w:val="clear" w:color="auto" w:fill="D99594" w:themeFill="accent2" w:themeFillTint="99"/>
          </w:tcPr>
          <w:p w:rsidR="001D351E"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3"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c>
          <w:tcPr>
            <w:tcW w:w="704" w:type="dxa"/>
            <w:shd w:val="clear" w:color="auto" w:fill="D99594" w:themeFill="accent2" w:themeFillTint="99"/>
            <w:vAlign w:val="center"/>
          </w:tcPr>
          <w:p w:rsidR="001D351E" w:rsidRPr="00647AB6" w:rsidRDefault="001D351E" w:rsidP="00C010C4">
            <w:pPr>
              <w:jc w:val="center"/>
              <w:rPr>
                <w:b/>
              </w:rPr>
            </w:pPr>
          </w:p>
        </w:tc>
      </w:tr>
      <w:tr w:rsidR="00214CA2" w:rsidTr="006B3DED">
        <w:tc>
          <w:tcPr>
            <w:tcW w:w="2660" w:type="dxa"/>
            <w:vAlign w:val="center"/>
          </w:tcPr>
          <w:p w:rsidR="00214CA2" w:rsidRPr="00647AB6" w:rsidRDefault="00214CA2" w:rsidP="00214CA2">
            <w:pPr>
              <w:jc w:val="center"/>
              <w:rPr>
                <w:sz w:val="20"/>
                <w:szCs w:val="20"/>
              </w:rPr>
            </w:pPr>
            <w:r>
              <w:rPr>
                <w:sz w:val="20"/>
                <w:szCs w:val="20"/>
              </w:rPr>
              <w:t>Measurement &amp; Geometry</w:t>
            </w:r>
          </w:p>
        </w:tc>
        <w:tc>
          <w:tcPr>
            <w:tcW w:w="12899" w:type="dxa"/>
            <w:vAlign w:val="center"/>
          </w:tcPr>
          <w:p w:rsidR="00214CA2" w:rsidRPr="00535200" w:rsidRDefault="00686206" w:rsidP="00214CA2">
            <w:pPr>
              <w:rPr>
                <w:sz w:val="18"/>
                <w:szCs w:val="18"/>
              </w:rPr>
            </w:pPr>
            <w:hyperlink r:id="rId27" w:tooltip="Elaborations: 1) using formulas to solve problems, 2) using authentic situations to apply knowledge and understanding of surface area and volume" w:history="1">
              <w:r w:rsidR="00214CA2" w:rsidRPr="00535200">
                <w:rPr>
                  <w:rStyle w:val="Hyperlink"/>
                  <w:rFonts w:ascii="Helvetica" w:hAnsi="Helvetica" w:cs="Helvetica"/>
                  <w:color w:val="auto"/>
                  <w:sz w:val="20"/>
                  <w:szCs w:val="20"/>
                  <w:u w:val="none"/>
                  <w:shd w:val="clear" w:color="auto" w:fill="FFFFFF"/>
                </w:rPr>
                <w:t>Solve problems involving surface area and volume of right pyramids, right cones, spheres and related composite solids (ACMMG271)</w:t>
              </w:r>
            </w:hyperlink>
          </w:p>
        </w:tc>
        <w:tc>
          <w:tcPr>
            <w:tcW w:w="2552" w:type="dxa"/>
          </w:tcPr>
          <w:p w:rsidR="00214CA2" w:rsidRDefault="00686206" w:rsidP="00214CA2">
            <w:pPr>
              <w:jc w:val="center"/>
            </w:pPr>
            <w:hyperlink r:id="rId28" w:history="1">
              <w:r w:rsidR="00214CA2" w:rsidRPr="004F4062">
                <w:rPr>
                  <w:rStyle w:val="Hyperlink"/>
                  <w:rFonts w:cs="Arial"/>
                  <w:b/>
                  <w:i/>
                  <w:color w:val="00B050"/>
                  <w:sz w:val="18"/>
                  <w:szCs w:val="18"/>
                  <w:lang w:eastAsia="en-AU"/>
                </w:rPr>
                <w:t>TIMESMG12</w:t>
              </w:r>
            </w:hyperlink>
            <w:r w:rsidR="00214CA2" w:rsidRPr="004F4062">
              <w:rPr>
                <w:rFonts w:cs="Arial"/>
                <w:color w:val="00B050"/>
                <w:sz w:val="18"/>
                <w:szCs w:val="18"/>
                <w:lang w:eastAsia="en-AU"/>
              </w:rPr>
              <w:t xml:space="preserve">  </w:t>
            </w:r>
          </w:p>
        </w:tc>
        <w:tc>
          <w:tcPr>
            <w:tcW w:w="1339" w:type="dxa"/>
          </w:tcPr>
          <w:p w:rsidR="00214CA2" w:rsidRDefault="00214CA2" w:rsidP="00214CA2">
            <w:pPr>
              <w:jc w:val="center"/>
            </w:pPr>
          </w:p>
        </w:tc>
        <w:sdt>
          <w:sdtPr>
            <w:id w:val="-916632412"/>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950553281"/>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2078079438"/>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1610153342"/>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r>
      <w:tr w:rsidR="00214CA2" w:rsidTr="006B3DED">
        <w:tc>
          <w:tcPr>
            <w:tcW w:w="2660" w:type="dxa"/>
            <w:vAlign w:val="center"/>
          </w:tcPr>
          <w:p w:rsidR="00214CA2" w:rsidRPr="00647AB6" w:rsidRDefault="00214CA2" w:rsidP="00214CA2">
            <w:pPr>
              <w:jc w:val="center"/>
              <w:rPr>
                <w:sz w:val="20"/>
                <w:szCs w:val="20"/>
              </w:rPr>
            </w:pPr>
            <w:r>
              <w:rPr>
                <w:sz w:val="20"/>
                <w:szCs w:val="20"/>
              </w:rPr>
              <w:t>Geometric Reasoning</w:t>
            </w:r>
          </w:p>
        </w:tc>
        <w:tc>
          <w:tcPr>
            <w:tcW w:w="12899" w:type="dxa"/>
            <w:vAlign w:val="center"/>
          </w:tcPr>
          <w:p w:rsidR="00214CA2" w:rsidRPr="00535200" w:rsidRDefault="00686206" w:rsidP="00214CA2">
            <w:pPr>
              <w:rPr>
                <w:rFonts w:ascii="Calibri" w:eastAsia="Calibri" w:hAnsi="Calibri" w:cs="Times New Roman"/>
                <w:sz w:val="18"/>
                <w:szCs w:val="18"/>
                <w:lang w:val="en-US"/>
              </w:rPr>
            </w:pPr>
            <w:hyperlink r:id="rId29" w:tooltip="Elaborations: 1) perform sequence of steps to determine unknown angle or length in a diagram involving a circle(s) give justifications from one step to the next, 2) communicate proof using logical sequence of stmnts, 3) prove results involving chords" w:history="1">
              <w:r w:rsidR="00214CA2" w:rsidRPr="00535200">
                <w:rPr>
                  <w:rStyle w:val="Hyperlink"/>
                  <w:rFonts w:ascii="Helvetica" w:hAnsi="Helvetica" w:cs="Helvetica"/>
                  <w:color w:val="auto"/>
                  <w:sz w:val="20"/>
                  <w:szCs w:val="20"/>
                  <w:u w:val="none"/>
                  <w:shd w:val="clear" w:color="auto" w:fill="FFFFFF"/>
                </w:rPr>
                <w:t>Prove and apply angle and chord properties of circles (ACMMG272)</w:t>
              </w:r>
            </w:hyperlink>
          </w:p>
        </w:tc>
        <w:tc>
          <w:tcPr>
            <w:tcW w:w="2552" w:type="dxa"/>
          </w:tcPr>
          <w:p w:rsidR="00214CA2" w:rsidRDefault="00686206" w:rsidP="00214CA2">
            <w:pPr>
              <w:jc w:val="center"/>
            </w:pPr>
            <w:hyperlink r:id="rId30" w:history="1">
              <w:r w:rsidR="00214CA2" w:rsidRPr="004F4062">
                <w:rPr>
                  <w:rStyle w:val="Hyperlink"/>
                  <w:rFonts w:cs="Arial"/>
                  <w:b/>
                  <w:i/>
                  <w:color w:val="00B050"/>
                  <w:sz w:val="18"/>
                  <w:szCs w:val="18"/>
                  <w:lang w:eastAsia="en-AU"/>
                </w:rPr>
                <w:t>TIMESMG26</w:t>
              </w:r>
            </w:hyperlink>
          </w:p>
        </w:tc>
        <w:tc>
          <w:tcPr>
            <w:tcW w:w="1339" w:type="dxa"/>
          </w:tcPr>
          <w:p w:rsidR="00214CA2" w:rsidRDefault="00214CA2" w:rsidP="00214CA2">
            <w:pPr>
              <w:jc w:val="center"/>
            </w:pPr>
          </w:p>
        </w:tc>
        <w:sdt>
          <w:sdtPr>
            <w:id w:val="251628119"/>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1901097371"/>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809085928"/>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c>
          <w:tcPr>
            <w:tcW w:w="704" w:type="dxa"/>
            <w:vAlign w:val="center"/>
          </w:tcPr>
          <w:p w:rsidR="00214CA2" w:rsidRDefault="00686206" w:rsidP="00214CA2">
            <w:pPr>
              <w:jc w:val="center"/>
            </w:pPr>
            <w:sdt>
              <w:sdtPr>
                <w:id w:val="2012030301"/>
                <w14:checkbox>
                  <w14:checked w14:val="0"/>
                  <w14:checkedState w14:val="2612" w14:font="MS Gothic"/>
                  <w14:uncheckedState w14:val="2610" w14:font="MS Gothic"/>
                </w14:checkbox>
              </w:sdtPr>
              <w:sdtEndPr/>
              <w:sdtContent>
                <w:r w:rsidR="00214CA2">
                  <w:rPr>
                    <w:rFonts w:ascii="MS Gothic" w:eastAsia="MS Gothic" w:hAnsi="MS Gothic" w:hint="eastAsia"/>
                  </w:rPr>
                  <w:t>☐</w:t>
                </w:r>
              </w:sdtContent>
            </w:sdt>
          </w:p>
        </w:tc>
      </w:tr>
      <w:tr w:rsidR="00214CA2" w:rsidTr="006B3DED">
        <w:tc>
          <w:tcPr>
            <w:tcW w:w="2660" w:type="dxa"/>
            <w:vAlign w:val="center"/>
          </w:tcPr>
          <w:p w:rsidR="00214CA2" w:rsidRPr="00647AB6" w:rsidRDefault="00214CA2" w:rsidP="00214CA2">
            <w:pPr>
              <w:jc w:val="center"/>
              <w:rPr>
                <w:sz w:val="20"/>
                <w:szCs w:val="20"/>
              </w:rPr>
            </w:pPr>
            <w:r>
              <w:rPr>
                <w:sz w:val="20"/>
                <w:szCs w:val="20"/>
              </w:rPr>
              <w:t>Pythagoras &amp; Trigonometry</w:t>
            </w:r>
          </w:p>
        </w:tc>
        <w:tc>
          <w:tcPr>
            <w:tcW w:w="12899" w:type="dxa"/>
            <w:vAlign w:val="center"/>
          </w:tcPr>
          <w:p w:rsidR="00214CA2" w:rsidRPr="00535200" w:rsidRDefault="00686206" w:rsidP="00214CA2">
            <w:pPr>
              <w:rPr>
                <w:sz w:val="18"/>
                <w:szCs w:val="18"/>
              </w:rPr>
            </w:pPr>
            <w:hyperlink r:id="rId31" w:tooltip="Elaborations: applying knowledge of sine, cosine and area rules to authentic problems such as those involving surveying and design" w:history="1">
              <w:r w:rsidR="00214CA2" w:rsidRPr="00535200">
                <w:rPr>
                  <w:rStyle w:val="Hyperlink"/>
                  <w:rFonts w:ascii="Helvetica" w:hAnsi="Helvetica" w:cs="Helvetica"/>
                  <w:color w:val="auto"/>
                  <w:sz w:val="20"/>
                  <w:szCs w:val="20"/>
                  <w:u w:val="none"/>
                  <w:shd w:val="clear" w:color="auto" w:fill="FFFFFF"/>
                </w:rPr>
                <w:t>Establish the sine, cosine and area rules for any triangle and solve related problems(ACMMG273)</w:t>
              </w:r>
            </w:hyperlink>
          </w:p>
        </w:tc>
        <w:tc>
          <w:tcPr>
            <w:tcW w:w="2552" w:type="dxa"/>
          </w:tcPr>
          <w:p w:rsidR="00214CA2" w:rsidRDefault="00686206" w:rsidP="00214CA2">
            <w:pPr>
              <w:jc w:val="center"/>
            </w:pPr>
            <w:hyperlink r:id="rId32" w:history="1">
              <w:r w:rsidR="00214CA2" w:rsidRPr="004F4062">
                <w:rPr>
                  <w:rStyle w:val="Hyperlink"/>
                  <w:rFonts w:cs="Arial"/>
                  <w:b/>
                  <w:i/>
                  <w:color w:val="00B050"/>
                  <w:sz w:val="18"/>
                  <w:szCs w:val="18"/>
                  <w:lang w:eastAsia="en-AU"/>
                </w:rPr>
                <w:t>TIMESMG24</w:t>
              </w:r>
            </w:hyperlink>
          </w:p>
        </w:tc>
        <w:tc>
          <w:tcPr>
            <w:tcW w:w="1339" w:type="dxa"/>
          </w:tcPr>
          <w:p w:rsidR="00214CA2" w:rsidRDefault="00214CA2" w:rsidP="00214CA2">
            <w:pPr>
              <w:jc w:val="center"/>
            </w:pPr>
          </w:p>
        </w:tc>
        <w:sdt>
          <w:sdtPr>
            <w:id w:val="-776715985"/>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396283430"/>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1073818084"/>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625087121"/>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r>
      <w:tr w:rsidR="00214CA2" w:rsidTr="006B3DED">
        <w:tc>
          <w:tcPr>
            <w:tcW w:w="2660" w:type="dxa"/>
            <w:vAlign w:val="center"/>
          </w:tcPr>
          <w:p w:rsidR="00214CA2" w:rsidRPr="00647AB6" w:rsidRDefault="00214CA2" w:rsidP="00214CA2">
            <w:pPr>
              <w:jc w:val="center"/>
              <w:rPr>
                <w:sz w:val="20"/>
                <w:szCs w:val="20"/>
              </w:rPr>
            </w:pPr>
          </w:p>
        </w:tc>
        <w:tc>
          <w:tcPr>
            <w:tcW w:w="12899" w:type="dxa"/>
            <w:vAlign w:val="center"/>
          </w:tcPr>
          <w:p w:rsidR="00214CA2" w:rsidRPr="00535200" w:rsidRDefault="00686206" w:rsidP="00214CA2">
            <w:pPr>
              <w:rPr>
                <w:sz w:val="18"/>
                <w:szCs w:val="18"/>
              </w:rPr>
            </w:pPr>
            <w:hyperlink r:id="rId33" w:tooltip="Elaborations: 1 establishing the symmetrical properties of trigonometric functions, 2) investigating angles of any magnitude, 3) understanding that trigonometric functions are periodic and that this can be used to describe motion" w:history="1">
              <w:r w:rsidR="00214CA2" w:rsidRPr="00535200">
                <w:rPr>
                  <w:rStyle w:val="Hyperlink"/>
                  <w:rFonts w:ascii="Helvetica" w:hAnsi="Helvetica" w:cs="Helvetica"/>
                  <w:color w:val="auto"/>
                  <w:sz w:val="20"/>
                  <w:szCs w:val="20"/>
                  <w:u w:val="none"/>
                  <w:shd w:val="clear" w:color="auto" w:fill="FFFFFF"/>
                </w:rPr>
                <w:t>Use the unit circle to define trigonometric functions, and graph them with and without the use of digital technologies (ACMMG274)</w:t>
              </w:r>
            </w:hyperlink>
          </w:p>
        </w:tc>
        <w:tc>
          <w:tcPr>
            <w:tcW w:w="2552" w:type="dxa"/>
          </w:tcPr>
          <w:p w:rsidR="00214CA2" w:rsidRDefault="00686206" w:rsidP="00214CA2">
            <w:pPr>
              <w:jc w:val="center"/>
            </w:pPr>
            <w:hyperlink r:id="rId34" w:history="1">
              <w:r w:rsidR="00214CA2" w:rsidRPr="004F4062">
                <w:rPr>
                  <w:rStyle w:val="Hyperlink"/>
                  <w:rFonts w:cs="Arial"/>
                  <w:b/>
                  <w:i/>
                  <w:color w:val="00B050"/>
                  <w:sz w:val="18"/>
                  <w:lang w:eastAsia="en-AU"/>
                </w:rPr>
                <w:t>TIMESMG25</w:t>
              </w:r>
            </w:hyperlink>
          </w:p>
        </w:tc>
        <w:tc>
          <w:tcPr>
            <w:tcW w:w="1339" w:type="dxa"/>
          </w:tcPr>
          <w:p w:rsidR="00214CA2" w:rsidRDefault="00214CA2" w:rsidP="00214CA2">
            <w:pPr>
              <w:jc w:val="center"/>
            </w:pPr>
          </w:p>
        </w:tc>
        <w:sdt>
          <w:sdtPr>
            <w:id w:val="1623727846"/>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1009720678"/>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2074812816"/>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708948496"/>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r>
      <w:tr w:rsidR="00214CA2" w:rsidTr="006B3DED">
        <w:tc>
          <w:tcPr>
            <w:tcW w:w="2660" w:type="dxa"/>
            <w:vAlign w:val="center"/>
          </w:tcPr>
          <w:p w:rsidR="00214CA2" w:rsidRPr="00647AB6" w:rsidRDefault="00214CA2" w:rsidP="00214CA2">
            <w:pPr>
              <w:jc w:val="center"/>
              <w:rPr>
                <w:sz w:val="20"/>
                <w:szCs w:val="20"/>
              </w:rPr>
            </w:pPr>
          </w:p>
        </w:tc>
        <w:tc>
          <w:tcPr>
            <w:tcW w:w="12899" w:type="dxa"/>
            <w:vAlign w:val="center"/>
          </w:tcPr>
          <w:p w:rsidR="00214CA2" w:rsidRPr="00535200" w:rsidRDefault="00686206" w:rsidP="00214CA2">
            <w:hyperlink r:id="rId35" w:tooltip="Elaborations using periodicity and symmetry to solve equations" w:history="1">
              <w:r w:rsidR="00214CA2" w:rsidRPr="00535200">
                <w:rPr>
                  <w:rStyle w:val="Hyperlink"/>
                  <w:rFonts w:ascii="Helvetica" w:hAnsi="Helvetica" w:cs="Helvetica"/>
                  <w:color w:val="auto"/>
                  <w:sz w:val="20"/>
                  <w:szCs w:val="20"/>
                  <w:u w:val="none"/>
                  <w:shd w:val="clear" w:color="auto" w:fill="FFFFFF"/>
                </w:rPr>
                <w:t>Solve simple trigonometric equations (ACMMG275)</w:t>
              </w:r>
            </w:hyperlink>
          </w:p>
        </w:tc>
        <w:tc>
          <w:tcPr>
            <w:tcW w:w="2552" w:type="dxa"/>
          </w:tcPr>
          <w:p w:rsidR="00214CA2" w:rsidRDefault="0073587B" w:rsidP="00214CA2">
            <w:pPr>
              <w:jc w:val="center"/>
            </w:pPr>
            <w:hyperlink r:id="rId36" w:history="1">
              <w:r w:rsidRPr="004F4062">
                <w:rPr>
                  <w:rStyle w:val="Hyperlink"/>
                  <w:rFonts w:cs="Arial"/>
                  <w:b/>
                  <w:i/>
                  <w:color w:val="00B050"/>
                  <w:sz w:val="18"/>
                  <w:lang w:eastAsia="en-AU"/>
                </w:rPr>
                <w:t>TIMESMG25</w:t>
              </w:r>
            </w:hyperlink>
            <w:bookmarkStart w:id="0" w:name="_GoBack"/>
            <w:bookmarkEnd w:id="0"/>
            <w:r w:rsidR="00686206">
              <w:fldChar w:fldCharType="begin"/>
            </w:r>
            <w:r w:rsidR="00686206">
              <w:instrText xml:space="preserve"> HYPERLINK "http://www.australiancurriculum.edu.au/Elements/ACMMG275" </w:instrText>
            </w:r>
            <w:r w:rsidR="00686206">
              <w:fldChar w:fldCharType="separate"/>
            </w:r>
            <w:r w:rsidR="00686206">
              <w:fldChar w:fldCharType="end"/>
            </w:r>
          </w:p>
        </w:tc>
        <w:tc>
          <w:tcPr>
            <w:tcW w:w="1339" w:type="dxa"/>
          </w:tcPr>
          <w:p w:rsidR="00214CA2" w:rsidRDefault="00214CA2" w:rsidP="00214CA2">
            <w:pPr>
              <w:jc w:val="center"/>
            </w:pPr>
          </w:p>
        </w:tc>
        <w:sdt>
          <w:sdtPr>
            <w:id w:val="869270267"/>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250270328"/>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1309703083"/>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1123503122"/>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r>
      <w:tr w:rsidR="00214CA2" w:rsidTr="006B3DED">
        <w:tc>
          <w:tcPr>
            <w:tcW w:w="2660" w:type="dxa"/>
            <w:vAlign w:val="center"/>
          </w:tcPr>
          <w:p w:rsidR="00214CA2" w:rsidRDefault="00214CA2" w:rsidP="00214CA2">
            <w:pPr>
              <w:jc w:val="center"/>
              <w:rPr>
                <w:sz w:val="20"/>
                <w:szCs w:val="20"/>
              </w:rPr>
            </w:pPr>
          </w:p>
        </w:tc>
        <w:tc>
          <w:tcPr>
            <w:tcW w:w="12899" w:type="dxa"/>
            <w:vAlign w:val="center"/>
          </w:tcPr>
          <w:p w:rsidR="00214CA2" w:rsidRPr="00535200" w:rsidRDefault="00686206" w:rsidP="00214CA2">
            <w:pPr>
              <w:rPr>
                <w:b/>
                <w:i/>
                <w:sz w:val="18"/>
                <w:szCs w:val="18"/>
              </w:rPr>
            </w:pPr>
            <w:hyperlink r:id="rId37" w:tooltip="Elaborations: investigating the applications of Pythagoras' theorem in authentic problems" w:history="1">
              <w:r w:rsidR="00214CA2" w:rsidRPr="00535200">
                <w:rPr>
                  <w:rStyle w:val="Hyperlink"/>
                  <w:rFonts w:ascii="Helvetica" w:hAnsi="Helvetica" w:cs="Helvetica"/>
                  <w:color w:val="auto"/>
                  <w:sz w:val="20"/>
                  <w:szCs w:val="20"/>
                  <w:u w:val="none"/>
                  <w:shd w:val="clear" w:color="auto" w:fill="FFFFFF"/>
                </w:rPr>
                <w:t>Pythagoras' theorem and trigonometry to solving three-dimensional problems in right-angled triangles (ACMMG276)</w:t>
              </w:r>
            </w:hyperlink>
          </w:p>
        </w:tc>
        <w:tc>
          <w:tcPr>
            <w:tcW w:w="2552" w:type="dxa"/>
          </w:tcPr>
          <w:p w:rsidR="00214CA2" w:rsidRDefault="00686206" w:rsidP="00214CA2">
            <w:pPr>
              <w:jc w:val="center"/>
            </w:pPr>
            <w:hyperlink r:id="rId38" w:history="1">
              <w:r w:rsidR="00214CA2" w:rsidRPr="004F4062">
                <w:rPr>
                  <w:rStyle w:val="Hyperlink"/>
                  <w:rFonts w:cs="Arial"/>
                  <w:b/>
                  <w:i/>
                  <w:color w:val="00B050"/>
                  <w:sz w:val="18"/>
                  <w:szCs w:val="18"/>
                  <w:lang w:eastAsia="en-AU"/>
                </w:rPr>
                <w:t>TIMESMG24</w:t>
              </w:r>
            </w:hyperlink>
          </w:p>
        </w:tc>
        <w:tc>
          <w:tcPr>
            <w:tcW w:w="1339" w:type="dxa"/>
          </w:tcPr>
          <w:p w:rsidR="00214CA2" w:rsidRDefault="00214CA2" w:rsidP="00214CA2">
            <w:pPr>
              <w:jc w:val="center"/>
            </w:pPr>
          </w:p>
        </w:tc>
        <w:sdt>
          <w:sdtPr>
            <w:id w:val="999167950"/>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738138258"/>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1288581813"/>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1794900771"/>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r>
      <w:tr w:rsidR="00214CA2" w:rsidTr="006B3DED">
        <w:tc>
          <w:tcPr>
            <w:tcW w:w="15559" w:type="dxa"/>
            <w:gridSpan w:val="2"/>
            <w:shd w:val="clear" w:color="auto" w:fill="D99594" w:themeFill="accent2" w:themeFillTint="99"/>
            <w:vAlign w:val="center"/>
          </w:tcPr>
          <w:p w:rsidR="00214CA2" w:rsidRDefault="00214CA2" w:rsidP="00214CA2">
            <w:pPr>
              <w:jc w:val="center"/>
              <w:rPr>
                <w:b/>
              </w:rPr>
            </w:pPr>
            <w:r>
              <w:rPr>
                <w:b/>
                <w:sz w:val="28"/>
                <w:szCs w:val="28"/>
              </w:rPr>
              <w:t xml:space="preserve">STATISTICS AND PROBABILITY </w:t>
            </w:r>
          </w:p>
        </w:tc>
        <w:tc>
          <w:tcPr>
            <w:tcW w:w="2552" w:type="dxa"/>
            <w:shd w:val="clear" w:color="auto" w:fill="D99594" w:themeFill="accent2" w:themeFillTint="99"/>
          </w:tcPr>
          <w:p w:rsidR="00214CA2" w:rsidRDefault="00214CA2" w:rsidP="00214CA2">
            <w:pPr>
              <w:jc w:val="center"/>
              <w:rPr>
                <w:b/>
              </w:rPr>
            </w:pPr>
          </w:p>
        </w:tc>
        <w:tc>
          <w:tcPr>
            <w:tcW w:w="1339" w:type="dxa"/>
            <w:shd w:val="clear" w:color="auto" w:fill="D99594" w:themeFill="accent2" w:themeFillTint="99"/>
            <w:vAlign w:val="center"/>
          </w:tcPr>
          <w:p w:rsidR="00214CA2" w:rsidRPr="00647AB6" w:rsidRDefault="00214CA2" w:rsidP="00214CA2">
            <w:pPr>
              <w:jc w:val="center"/>
              <w:rPr>
                <w:b/>
              </w:rPr>
            </w:pPr>
          </w:p>
        </w:tc>
        <w:tc>
          <w:tcPr>
            <w:tcW w:w="704" w:type="dxa"/>
            <w:shd w:val="clear" w:color="auto" w:fill="D99594" w:themeFill="accent2" w:themeFillTint="99"/>
            <w:vAlign w:val="center"/>
          </w:tcPr>
          <w:p w:rsidR="00214CA2" w:rsidRPr="00647AB6" w:rsidRDefault="00214CA2" w:rsidP="00214CA2">
            <w:pPr>
              <w:jc w:val="center"/>
              <w:rPr>
                <w:b/>
              </w:rPr>
            </w:pPr>
          </w:p>
        </w:tc>
        <w:tc>
          <w:tcPr>
            <w:tcW w:w="703" w:type="dxa"/>
            <w:shd w:val="clear" w:color="auto" w:fill="D99594" w:themeFill="accent2" w:themeFillTint="99"/>
            <w:vAlign w:val="center"/>
          </w:tcPr>
          <w:p w:rsidR="00214CA2" w:rsidRPr="00647AB6" w:rsidRDefault="00214CA2" w:rsidP="00214CA2">
            <w:pPr>
              <w:jc w:val="center"/>
              <w:rPr>
                <w:b/>
              </w:rPr>
            </w:pPr>
          </w:p>
        </w:tc>
        <w:tc>
          <w:tcPr>
            <w:tcW w:w="704" w:type="dxa"/>
            <w:shd w:val="clear" w:color="auto" w:fill="D99594" w:themeFill="accent2" w:themeFillTint="99"/>
            <w:vAlign w:val="center"/>
          </w:tcPr>
          <w:p w:rsidR="00214CA2" w:rsidRPr="008117D3" w:rsidRDefault="00214CA2" w:rsidP="00214CA2">
            <w:pPr>
              <w:jc w:val="center"/>
              <w:rPr>
                <w:b/>
              </w:rPr>
            </w:pPr>
          </w:p>
        </w:tc>
        <w:tc>
          <w:tcPr>
            <w:tcW w:w="704" w:type="dxa"/>
            <w:shd w:val="clear" w:color="auto" w:fill="D99594" w:themeFill="accent2" w:themeFillTint="99"/>
            <w:vAlign w:val="center"/>
          </w:tcPr>
          <w:p w:rsidR="00214CA2" w:rsidRDefault="00214CA2" w:rsidP="00214CA2">
            <w:pPr>
              <w:jc w:val="center"/>
              <w:rPr>
                <w:rFonts w:ascii="MS Gothic" w:eastAsia="MS Gothic" w:hAnsi="MS Gothic"/>
              </w:rPr>
            </w:pPr>
          </w:p>
        </w:tc>
      </w:tr>
      <w:tr w:rsidR="00214CA2" w:rsidTr="006B3DED">
        <w:tc>
          <w:tcPr>
            <w:tcW w:w="2660" w:type="dxa"/>
            <w:vAlign w:val="center"/>
          </w:tcPr>
          <w:p w:rsidR="00214CA2" w:rsidRPr="00647AB6" w:rsidRDefault="00214CA2" w:rsidP="00214CA2">
            <w:pPr>
              <w:jc w:val="center"/>
              <w:rPr>
                <w:sz w:val="20"/>
                <w:szCs w:val="20"/>
              </w:rPr>
            </w:pPr>
            <w:r>
              <w:rPr>
                <w:sz w:val="20"/>
                <w:szCs w:val="20"/>
              </w:rPr>
              <w:t>Chance</w:t>
            </w:r>
          </w:p>
        </w:tc>
        <w:tc>
          <w:tcPr>
            <w:tcW w:w="12899" w:type="dxa"/>
            <w:vAlign w:val="center"/>
          </w:tcPr>
          <w:p w:rsidR="00214CA2" w:rsidRPr="00A91B74" w:rsidRDefault="00686206" w:rsidP="00214CA2">
            <w:pPr>
              <w:rPr>
                <w:b/>
                <w:i/>
                <w:sz w:val="18"/>
                <w:szCs w:val="18"/>
              </w:rPr>
            </w:pPr>
            <w:hyperlink r:id="rId39" w:tooltip="Elaborations: 1) evaluating the appropriateness of sampling methods in reports where statements about a population are based on a sample, 2) evaluating whether graphs in a report could mislead, and whether graphs and numerical information support the claim" w:history="1">
              <w:r w:rsidR="00214CA2" w:rsidRPr="00A91B74">
                <w:rPr>
                  <w:rStyle w:val="Hyperlink"/>
                  <w:rFonts w:ascii="Helvetica" w:hAnsi="Helvetica" w:cs="Helvetica"/>
                  <w:color w:val="auto"/>
                  <w:sz w:val="20"/>
                  <w:szCs w:val="20"/>
                  <w:u w:val="none"/>
                  <w:shd w:val="clear" w:color="auto" w:fill="FFFFFF"/>
                </w:rPr>
                <w:t>Investigate reports of studies in digital media and elsewhere for information on their planning and implementation (ACMSP277)</w:t>
              </w:r>
            </w:hyperlink>
          </w:p>
        </w:tc>
        <w:tc>
          <w:tcPr>
            <w:tcW w:w="2552" w:type="dxa"/>
          </w:tcPr>
          <w:p w:rsidR="00214CA2" w:rsidRDefault="00214CA2" w:rsidP="00214CA2">
            <w:pPr>
              <w:jc w:val="center"/>
            </w:pPr>
          </w:p>
        </w:tc>
        <w:tc>
          <w:tcPr>
            <w:tcW w:w="1339" w:type="dxa"/>
          </w:tcPr>
          <w:p w:rsidR="00214CA2" w:rsidRDefault="00214CA2" w:rsidP="00214CA2">
            <w:pPr>
              <w:jc w:val="center"/>
            </w:pPr>
          </w:p>
        </w:tc>
        <w:sdt>
          <w:sdtPr>
            <w:id w:val="-546369402"/>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512031544"/>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186831632"/>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c>
          <w:tcPr>
            <w:tcW w:w="704" w:type="dxa"/>
            <w:vAlign w:val="center"/>
          </w:tcPr>
          <w:p w:rsidR="00214CA2" w:rsidRDefault="00686206" w:rsidP="00214CA2">
            <w:pPr>
              <w:jc w:val="center"/>
            </w:pPr>
            <w:sdt>
              <w:sdtPr>
                <w:id w:val="1287391883"/>
                <w14:checkbox>
                  <w14:checked w14:val="0"/>
                  <w14:checkedState w14:val="2612" w14:font="MS Gothic"/>
                  <w14:uncheckedState w14:val="2610" w14:font="MS Gothic"/>
                </w14:checkbox>
              </w:sdtPr>
              <w:sdtEndPr/>
              <w:sdtContent>
                <w:r w:rsidR="00214CA2">
                  <w:rPr>
                    <w:rFonts w:ascii="MS Gothic" w:eastAsia="MS Gothic" w:hAnsi="MS Gothic" w:hint="eastAsia"/>
                  </w:rPr>
                  <w:t>☐</w:t>
                </w:r>
              </w:sdtContent>
            </w:sdt>
          </w:p>
        </w:tc>
      </w:tr>
      <w:tr w:rsidR="00214CA2" w:rsidTr="006B3DED">
        <w:tc>
          <w:tcPr>
            <w:tcW w:w="2660" w:type="dxa"/>
            <w:vAlign w:val="center"/>
          </w:tcPr>
          <w:p w:rsidR="00214CA2" w:rsidRDefault="00214CA2" w:rsidP="00214CA2">
            <w:pPr>
              <w:jc w:val="center"/>
              <w:rPr>
                <w:sz w:val="20"/>
                <w:szCs w:val="20"/>
              </w:rPr>
            </w:pPr>
            <w:r>
              <w:rPr>
                <w:sz w:val="20"/>
                <w:szCs w:val="20"/>
              </w:rPr>
              <w:t>Data Representation &amp; Interpretation</w:t>
            </w:r>
          </w:p>
        </w:tc>
        <w:tc>
          <w:tcPr>
            <w:tcW w:w="12899" w:type="dxa"/>
            <w:vAlign w:val="center"/>
          </w:tcPr>
          <w:p w:rsidR="00214CA2" w:rsidRPr="00A91B74" w:rsidRDefault="00686206" w:rsidP="00214CA2">
            <w:pPr>
              <w:rPr>
                <w:b/>
                <w:i/>
                <w:sz w:val="18"/>
                <w:szCs w:val="18"/>
              </w:rPr>
            </w:pPr>
            <w:hyperlink r:id="rId40" w:tooltip="Elaborations: 1) using the standard deviation to describe the spread of a set of data, 2) using the mean and standard deviation to compare numerical data sets" w:history="1">
              <w:r w:rsidR="00214CA2" w:rsidRPr="00A91B74">
                <w:rPr>
                  <w:rStyle w:val="Hyperlink"/>
                  <w:rFonts w:ascii="Helvetica" w:hAnsi="Helvetica" w:cs="Helvetica"/>
                  <w:color w:val="auto"/>
                  <w:sz w:val="20"/>
                  <w:szCs w:val="20"/>
                  <w:u w:val="none"/>
                  <w:shd w:val="clear" w:color="auto" w:fill="FFFFFF"/>
                </w:rPr>
                <w:t>Calculate and interpret the mean and standard deviation of data and use these to compare data sets (ACMSP278)</w:t>
              </w:r>
            </w:hyperlink>
          </w:p>
        </w:tc>
        <w:tc>
          <w:tcPr>
            <w:tcW w:w="2552" w:type="dxa"/>
          </w:tcPr>
          <w:p w:rsidR="00214CA2" w:rsidRDefault="00214CA2" w:rsidP="00214CA2">
            <w:pPr>
              <w:jc w:val="center"/>
            </w:pPr>
          </w:p>
        </w:tc>
        <w:tc>
          <w:tcPr>
            <w:tcW w:w="1339" w:type="dxa"/>
          </w:tcPr>
          <w:p w:rsidR="00214CA2" w:rsidRDefault="00214CA2" w:rsidP="00214CA2">
            <w:pPr>
              <w:jc w:val="center"/>
            </w:pPr>
          </w:p>
        </w:tc>
        <w:sdt>
          <w:sdtPr>
            <w:id w:val="-1078901337"/>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1845129054"/>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960572829"/>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2098284800"/>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r>
      <w:tr w:rsidR="00214CA2" w:rsidTr="006B3DED">
        <w:tc>
          <w:tcPr>
            <w:tcW w:w="2660" w:type="dxa"/>
            <w:vAlign w:val="center"/>
          </w:tcPr>
          <w:p w:rsidR="00214CA2" w:rsidRPr="00647AB6" w:rsidRDefault="00214CA2" w:rsidP="00214CA2">
            <w:pPr>
              <w:jc w:val="center"/>
              <w:rPr>
                <w:sz w:val="20"/>
                <w:szCs w:val="20"/>
              </w:rPr>
            </w:pPr>
          </w:p>
        </w:tc>
        <w:tc>
          <w:tcPr>
            <w:tcW w:w="12899" w:type="dxa"/>
            <w:vAlign w:val="center"/>
          </w:tcPr>
          <w:p w:rsidR="00214CA2" w:rsidRPr="00A91B74" w:rsidRDefault="00686206" w:rsidP="00214CA2">
            <w:pPr>
              <w:rPr>
                <w:b/>
                <w:i/>
                <w:sz w:val="18"/>
                <w:szCs w:val="18"/>
              </w:rPr>
            </w:pPr>
            <w:hyperlink r:id="rId41" w:tooltip="Elaborations: investigating different techniques for finding a ‘line of best fit’" w:history="1">
              <w:r w:rsidR="00214CA2" w:rsidRPr="00A91B74">
                <w:rPr>
                  <w:rStyle w:val="Hyperlink"/>
                  <w:rFonts w:ascii="Helvetica" w:hAnsi="Helvetica" w:cs="Helvetica"/>
                  <w:color w:val="auto"/>
                  <w:sz w:val="20"/>
                  <w:szCs w:val="20"/>
                  <w:u w:val="none"/>
                  <w:shd w:val="clear" w:color="auto" w:fill="FFFFFF"/>
                </w:rPr>
                <w:t>Use information technologies to investigate bivariate numerical data sets. Where appropriate use a straight line to describe the relationship allowing for variation (ACMSP279)</w:t>
              </w:r>
            </w:hyperlink>
          </w:p>
        </w:tc>
        <w:tc>
          <w:tcPr>
            <w:tcW w:w="2552" w:type="dxa"/>
          </w:tcPr>
          <w:p w:rsidR="00214CA2" w:rsidRDefault="00214CA2" w:rsidP="00214CA2">
            <w:pPr>
              <w:jc w:val="center"/>
            </w:pPr>
          </w:p>
        </w:tc>
        <w:tc>
          <w:tcPr>
            <w:tcW w:w="1339" w:type="dxa"/>
          </w:tcPr>
          <w:p w:rsidR="00214CA2" w:rsidRDefault="00214CA2" w:rsidP="00214CA2">
            <w:pPr>
              <w:jc w:val="center"/>
            </w:pPr>
          </w:p>
        </w:tc>
        <w:sdt>
          <w:sdtPr>
            <w:id w:val="-479460065"/>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973905999"/>
            <w14:checkbox>
              <w14:checked w14:val="0"/>
              <w14:checkedState w14:val="2612" w14:font="MS Gothic"/>
              <w14:uncheckedState w14:val="2610" w14:font="MS Gothic"/>
            </w14:checkbox>
          </w:sdtPr>
          <w:sdtEndPr/>
          <w:sdtContent>
            <w:tc>
              <w:tcPr>
                <w:tcW w:w="703" w:type="dxa"/>
                <w:vAlign w:val="center"/>
              </w:tcPr>
              <w:p w:rsidR="00214CA2" w:rsidRDefault="00214CA2" w:rsidP="00214CA2">
                <w:pPr>
                  <w:jc w:val="center"/>
                </w:pPr>
                <w:r>
                  <w:rPr>
                    <w:rFonts w:ascii="MS Gothic" w:eastAsia="MS Gothic" w:hAnsi="MS Gothic" w:hint="eastAsia"/>
                  </w:rPr>
                  <w:t>☐</w:t>
                </w:r>
              </w:p>
            </w:tc>
          </w:sdtContent>
        </w:sdt>
        <w:sdt>
          <w:sdtPr>
            <w:id w:val="1947117658"/>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sdt>
          <w:sdtPr>
            <w:id w:val="-264688811"/>
            <w14:checkbox>
              <w14:checked w14:val="0"/>
              <w14:checkedState w14:val="2612" w14:font="MS Gothic"/>
              <w14:uncheckedState w14:val="2610" w14:font="MS Gothic"/>
            </w14:checkbox>
          </w:sdtPr>
          <w:sdtEndPr/>
          <w:sdtContent>
            <w:tc>
              <w:tcPr>
                <w:tcW w:w="704" w:type="dxa"/>
                <w:vAlign w:val="center"/>
              </w:tcPr>
              <w:p w:rsidR="00214CA2" w:rsidRDefault="00214CA2" w:rsidP="00214CA2">
                <w:pPr>
                  <w:jc w:val="center"/>
                </w:pPr>
                <w:r>
                  <w:rPr>
                    <w:rFonts w:ascii="MS Gothic" w:eastAsia="MS Gothic" w:hAnsi="MS Gothic" w:hint="eastAsia"/>
                  </w:rPr>
                  <w:t>☐</w:t>
                </w:r>
              </w:p>
            </w:tc>
          </w:sdtContent>
        </w:sdt>
      </w:tr>
      <w:tr w:rsidR="00214CA2" w:rsidTr="006B3DED">
        <w:tc>
          <w:tcPr>
            <w:tcW w:w="15559" w:type="dxa"/>
            <w:gridSpan w:val="2"/>
            <w:shd w:val="clear" w:color="auto" w:fill="D99594" w:themeFill="accent2" w:themeFillTint="99"/>
            <w:vAlign w:val="center"/>
          </w:tcPr>
          <w:p w:rsidR="00214CA2" w:rsidRPr="0093703D" w:rsidRDefault="00214CA2" w:rsidP="00214CA2">
            <w:pPr>
              <w:jc w:val="center"/>
              <w:rPr>
                <w:rFonts w:ascii="Helvetica" w:hAnsi="Helvetica" w:cs="Helvetica"/>
                <w:sz w:val="20"/>
                <w:szCs w:val="20"/>
                <w:shd w:val="clear" w:color="auto" w:fill="FFFFFF"/>
              </w:rPr>
            </w:pPr>
            <w:r>
              <w:rPr>
                <w:b/>
                <w:sz w:val="28"/>
                <w:szCs w:val="28"/>
              </w:rPr>
              <w:t>PROFICIENCIES (Embedded Throughout)</w:t>
            </w:r>
          </w:p>
        </w:tc>
        <w:tc>
          <w:tcPr>
            <w:tcW w:w="6706" w:type="dxa"/>
            <w:gridSpan w:val="6"/>
            <w:shd w:val="clear" w:color="auto" w:fill="D99594" w:themeFill="accent2" w:themeFillTint="99"/>
          </w:tcPr>
          <w:p w:rsidR="00214CA2" w:rsidRPr="00482DD4" w:rsidRDefault="00214CA2" w:rsidP="00214CA2">
            <w:pPr>
              <w:jc w:val="center"/>
              <w:rPr>
                <w:rFonts w:ascii="MS Gothic" w:eastAsia="MS Gothic" w:hAnsi="MS Gothic"/>
                <w:b/>
              </w:rPr>
            </w:pPr>
            <w:r w:rsidRPr="00482DD4">
              <w:rPr>
                <w:rFonts w:ascii="MS Gothic" w:eastAsia="MS Gothic" w:hAnsi="MS Gothic"/>
                <w:b/>
              </w:rPr>
              <w:t>Keywords</w:t>
            </w:r>
          </w:p>
        </w:tc>
      </w:tr>
      <w:tr w:rsidR="00214CA2" w:rsidTr="00461C03">
        <w:tc>
          <w:tcPr>
            <w:tcW w:w="2660" w:type="dxa"/>
            <w:vAlign w:val="center"/>
          </w:tcPr>
          <w:p w:rsidR="00214CA2" w:rsidRPr="00005C05" w:rsidRDefault="00686206" w:rsidP="00214CA2">
            <w:pPr>
              <w:jc w:val="center"/>
              <w:rPr>
                <w:b/>
                <w:color w:val="000000" w:themeColor="text1"/>
                <w:sz w:val="20"/>
                <w:szCs w:val="20"/>
              </w:rPr>
            </w:pPr>
            <w:hyperlink r:id="rId42" w:tooltip="A full list of Understanding Statements and Keywords" w:history="1">
              <w:r w:rsidR="00214CA2" w:rsidRPr="00005C05">
                <w:rPr>
                  <w:rStyle w:val="Hyperlink"/>
                  <w:b/>
                  <w:color w:val="000000" w:themeColor="text1"/>
                  <w:sz w:val="20"/>
                  <w:szCs w:val="20"/>
                  <w:u w:val="none"/>
                </w:rPr>
                <w:t>Understanding</w:t>
              </w:r>
            </w:hyperlink>
          </w:p>
        </w:tc>
        <w:tc>
          <w:tcPr>
            <w:tcW w:w="12899" w:type="dxa"/>
          </w:tcPr>
          <w:p w:rsidR="00214CA2" w:rsidRPr="009E6291" w:rsidRDefault="00214CA2" w:rsidP="00214CA2">
            <w:pPr>
              <w:rPr>
                <w:rFonts w:ascii="Calibri" w:hAnsi="Calibri"/>
              </w:rPr>
            </w:pPr>
            <w:r>
              <w:rPr>
                <w:rFonts w:ascii="Calibri" w:hAnsi="Calibri"/>
              </w:rPr>
              <w:t>includes applying the four operations to algebraic fractions, finding unknowns in formulas after substitution, making the connection between equations of relations and their graphs, comparing simple and compound interest in financial contexts and determining probabilities of  two and three step experiments</w:t>
            </w:r>
          </w:p>
        </w:tc>
        <w:tc>
          <w:tcPr>
            <w:tcW w:w="6706" w:type="dxa"/>
            <w:gridSpan w:val="6"/>
          </w:tcPr>
          <w:p w:rsidR="00214CA2" w:rsidRPr="00DF60BB" w:rsidRDefault="00214CA2" w:rsidP="00214CA2">
            <w:pPr>
              <w:rPr>
                <w:rFonts w:ascii="Calibri" w:hAnsi="Calibri"/>
                <w:iCs/>
              </w:rPr>
            </w:pPr>
            <w:r>
              <w:rPr>
                <w:rFonts w:ascii="Calibri" w:hAnsi="Calibri"/>
              </w:rPr>
              <w:t>Making connections, noticing properties, manipulating according to properties, identifying and describing relationships</w:t>
            </w:r>
          </w:p>
        </w:tc>
      </w:tr>
      <w:tr w:rsidR="00214CA2" w:rsidTr="00461C03">
        <w:tc>
          <w:tcPr>
            <w:tcW w:w="2660" w:type="dxa"/>
            <w:vAlign w:val="center"/>
          </w:tcPr>
          <w:p w:rsidR="00214CA2" w:rsidRPr="00005C05" w:rsidRDefault="00686206" w:rsidP="00214CA2">
            <w:pPr>
              <w:jc w:val="center"/>
              <w:rPr>
                <w:b/>
                <w:sz w:val="20"/>
                <w:szCs w:val="20"/>
              </w:rPr>
            </w:pPr>
            <w:hyperlink r:id="rId43" w:tooltip="A full list of Fluency Statements and Keywords" w:history="1">
              <w:r w:rsidR="00214CA2" w:rsidRPr="00005C05">
                <w:rPr>
                  <w:rStyle w:val="Hyperlink"/>
                  <w:b/>
                  <w:color w:val="auto"/>
                  <w:sz w:val="20"/>
                  <w:szCs w:val="20"/>
                  <w:u w:val="none"/>
                </w:rPr>
                <w:t>Fluency</w:t>
              </w:r>
            </w:hyperlink>
          </w:p>
        </w:tc>
        <w:tc>
          <w:tcPr>
            <w:tcW w:w="12899" w:type="dxa"/>
          </w:tcPr>
          <w:p w:rsidR="00214CA2" w:rsidRPr="005E25B5" w:rsidRDefault="00214CA2" w:rsidP="00214CA2">
            <w:pPr>
              <w:rPr>
                <w:rFonts w:ascii="Calibri" w:hAnsi="Calibri"/>
              </w:rPr>
            </w:pPr>
            <w:r>
              <w:rPr>
                <w:rFonts w:ascii="Calibri" w:hAnsi="Calibri"/>
              </w:rPr>
              <w:t>includes factorising and expanding algebraic expressions, using a range of strategies to solve equations and using calculations to investigate the shape of data sets</w:t>
            </w:r>
          </w:p>
        </w:tc>
        <w:tc>
          <w:tcPr>
            <w:tcW w:w="6706" w:type="dxa"/>
            <w:gridSpan w:val="6"/>
          </w:tcPr>
          <w:p w:rsidR="00214CA2" w:rsidRPr="00DF60BB" w:rsidRDefault="00214CA2" w:rsidP="00214CA2">
            <w:pPr>
              <w:rPr>
                <w:rFonts w:ascii="Calibri" w:hAnsi="Calibri"/>
                <w:iCs/>
              </w:rPr>
            </w:pPr>
            <w:r>
              <w:rPr>
                <w:rFonts w:ascii="Calibri" w:hAnsi="Calibri"/>
                <w:iCs/>
              </w:rPr>
              <w:t>Calculating, solving, applying rules appropriately in algebraic/symbolic expressions</w:t>
            </w:r>
          </w:p>
        </w:tc>
      </w:tr>
      <w:tr w:rsidR="00214CA2" w:rsidTr="00461C03">
        <w:tc>
          <w:tcPr>
            <w:tcW w:w="2660" w:type="dxa"/>
            <w:vAlign w:val="center"/>
          </w:tcPr>
          <w:p w:rsidR="00214CA2" w:rsidRPr="00005C05" w:rsidRDefault="00686206" w:rsidP="00214CA2">
            <w:pPr>
              <w:jc w:val="center"/>
              <w:rPr>
                <w:b/>
                <w:sz w:val="20"/>
                <w:szCs w:val="20"/>
              </w:rPr>
            </w:pPr>
            <w:hyperlink r:id="rId44" w:tooltip="A full list of Problem Solving Statements and Keywords" w:history="1">
              <w:r w:rsidR="00214CA2" w:rsidRPr="00005C05">
                <w:rPr>
                  <w:rStyle w:val="Hyperlink"/>
                  <w:b/>
                  <w:color w:val="000000" w:themeColor="text1"/>
                  <w:sz w:val="20"/>
                  <w:szCs w:val="20"/>
                  <w:u w:val="none"/>
                </w:rPr>
                <w:t>Problem Solving</w:t>
              </w:r>
            </w:hyperlink>
          </w:p>
        </w:tc>
        <w:tc>
          <w:tcPr>
            <w:tcW w:w="12899" w:type="dxa"/>
          </w:tcPr>
          <w:p w:rsidR="00214CA2" w:rsidRPr="009E6291" w:rsidRDefault="00214CA2" w:rsidP="00214CA2">
            <w:pPr>
              <w:rPr>
                <w:rFonts w:ascii="Calibri" w:hAnsi="Calibri"/>
              </w:rPr>
            </w:pPr>
            <w:r>
              <w:rPr>
                <w:rFonts w:ascii="Calibri" w:hAnsi="Calibri"/>
              </w:rPr>
              <w:t>includes calculating the surface area and volume of a diverse range of prisms to solve practical problems, finding unknown lengths and angles using applications of trigonometry, using algebraic and graphical techniques to find solutions to simultaneous equations and inequalities, and investigating independence of events</w:t>
            </w:r>
          </w:p>
        </w:tc>
        <w:tc>
          <w:tcPr>
            <w:tcW w:w="6706" w:type="dxa"/>
            <w:gridSpan w:val="6"/>
          </w:tcPr>
          <w:p w:rsidR="00214CA2" w:rsidRPr="00DF60BB" w:rsidRDefault="00214CA2" w:rsidP="00214CA2">
            <w:pPr>
              <w:rPr>
                <w:rFonts w:ascii="Calibri" w:hAnsi="Calibri"/>
                <w:iCs/>
              </w:rPr>
            </w:pPr>
            <w:r>
              <w:rPr>
                <w:rFonts w:ascii="Calibri" w:hAnsi="Calibri"/>
                <w:iCs/>
              </w:rPr>
              <w:t xml:space="preserve">Apply, investigate, </w:t>
            </w:r>
          </w:p>
        </w:tc>
      </w:tr>
      <w:tr w:rsidR="00214CA2" w:rsidTr="00461C03">
        <w:tc>
          <w:tcPr>
            <w:tcW w:w="2660" w:type="dxa"/>
            <w:vAlign w:val="center"/>
          </w:tcPr>
          <w:p w:rsidR="00214CA2" w:rsidRPr="00005C05" w:rsidRDefault="00686206" w:rsidP="00214CA2">
            <w:pPr>
              <w:jc w:val="center"/>
              <w:rPr>
                <w:b/>
                <w:sz w:val="20"/>
                <w:szCs w:val="20"/>
              </w:rPr>
            </w:pPr>
            <w:hyperlink r:id="rId45" w:tooltip="A full list of Reasoning Statements and Keywords" w:history="1">
              <w:r w:rsidR="00214CA2" w:rsidRPr="00005C05">
                <w:rPr>
                  <w:rStyle w:val="Hyperlink"/>
                  <w:b/>
                  <w:color w:val="auto"/>
                  <w:sz w:val="20"/>
                  <w:szCs w:val="20"/>
                  <w:u w:val="none"/>
                </w:rPr>
                <w:t>Reasoning</w:t>
              </w:r>
            </w:hyperlink>
          </w:p>
        </w:tc>
        <w:tc>
          <w:tcPr>
            <w:tcW w:w="12899" w:type="dxa"/>
          </w:tcPr>
          <w:p w:rsidR="00214CA2" w:rsidRPr="00D32D09" w:rsidRDefault="00214CA2" w:rsidP="00214CA2">
            <w:pPr>
              <w:rPr>
                <w:rFonts w:ascii="Calibri" w:hAnsi="Calibri"/>
                <w:i/>
                <w:iCs/>
              </w:rPr>
            </w:pPr>
            <w:r>
              <w:rPr>
                <w:rFonts w:ascii="Calibri" w:hAnsi="Calibri"/>
              </w:rPr>
              <w:t>includes formulating geometric proofs involving congruence and similarity, interpreting and evaluating media statements and interpreting and comparing datasets</w:t>
            </w:r>
          </w:p>
        </w:tc>
        <w:tc>
          <w:tcPr>
            <w:tcW w:w="6706" w:type="dxa"/>
            <w:gridSpan w:val="6"/>
          </w:tcPr>
          <w:p w:rsidR="00214CA2" w:rsidRPr="00DF60BB" w:rsidRDefault="00214CA2" w:rsidP="00214CA2">
            <w:pPr>
              <w:rPr>
                <w:rFonts w:ascii="Calibri" w:hAnsi="Calibri"/>
                <w:iCs/>
              </w:rPr>
            </w:pPr>
            <w:r>
              <w:rPr>
                <w:rFonts w:ascii="Calibri" w:hAnsi="Calibri"/>
                <w:iCs/>
              </w:rPr>
              <w:t>Formulating proofs, interpreting, evaluating, comparing</w:t>
            </w:r>
          </w:p>
        </w:tc>
      </w:tr>
    </w:tbl>
    <w:p w:rsidR="00C010C4" w:rsidRPr="00DF70E3" w:rsidRDefault="00C010C4" w:rsidP="0031783C"/>
    <w:sectPr w:rsidR="00C010C4" w:rsidRPr="00DF70E3" w:rsidSect="00F04F27">
      <w:footerReference w:type="default" r:id="rId46"/>
      <w:pgSz w:w="23814" w:h="16839" w:orient="landscape" w:code="8"/>
      <w:pgMar w:top="426" w:right="142" w:bottom="142" w:left="142" w:header="709"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06" w:rsidRDefault="00686206" w:rsidP="00F04F27">
      <w:pPr>
        <w:spacing w:after="0" w:line="240" w:lineRule="auto"/>
      </w:pPr>
      <w:r>
        <w:separator/>
      </w:r>
    </w:p>
  </w:endnote>
  <w:endnote w:type="continuationSeparator" w:id="0">
    <w:p w:rsidR="00686206" w:rsidRDefault="00686206" w:rsidP="00F0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Std-Lt-Identity-">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F27" w:rsidRDefault="00F04F27">
    <w:pPr>
      <w:pStyle w:val="Footer"/>
    </w:pPr>
    <w:r>
      <w:t xml:space="preserve">The original version of this Audit document was developed </w:t>
    </w:r>
    <w:r w:rsidR="00BA7AD5">
      <w:t>in conjunction with</w:t>
    </w:r>
    <w:r>
      <w:t xml:space="preserve"> the Townsville Catholic Education Office.</w:t>
    </w:r>
  </w:p>
  <w:p w:rsidR="00F04F27" w:rsidRDefault="00F04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06" w:rsidRDefault="00686206" w:rsidP="00F04F27">
      <w:pPr>
        <w:spacing w:after="0" w:line="240" w:lineRule="auto"/>
      </w:pPr>
      <w:r>
        <w:separator/>
      </w:r>
    </w:p>
  </w:footnote>
  <w:footnote w:type="continuationSeparator" w:id="0">
    <w:p w:rsidR="00686206" w:rsidRDefault="00686206" w:rsidP="00F04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B6"/>
    <w:rsid w:val="00005C05"/>
    <w:rsid w:val="00025B5E"/>
    <w:rsid w:val="00047BD7"/>
    <w:rsid w:val="000606CF"/>
    <w:rsid w:val="00083B32"/>
    <w:rsid w:val="00085527"/>
    <w:rsid w:val="000B0343"/>
    <w:rsid w:val="000E27B2"/>
    <w:rsid w:val="00114EED"/>
    <w:rsid w:val="00117625"/>
    <w:rsid w:val="00117D91"/>
    <w:rsid w:val="001235F8"/>
    <w:rsid w:val="00133ED6"/>
    <w:rsid w:val="001504BE"/>
    <w:rsid w:val="001703DA"/>
    <w:rsid w:val="001D32BB"/>
    <w:rsid w:val="001D351E"/>
    <w:rsid w:val="001D52E2"/>
    <w:rsid w:val="001E6CDE"/>
    <w:rsid w:val="00214CA2"/>
    <w:rsid w:val="00257B7E"/>
    <w:rsid w:val="00265F4E"/>
    <w:rsid w:val="002A7585"/>
    <w:rsid w:val="002C4DEA"/>
    <w:rsid w:val="00303855"/>
    <w:rsid w:val="00306AED"/>
    <w:rsid w:val="00313D0F"/>
    <w:rsid w:val="0031783C"/>
    <w:rsid w:val="003440A2"/>
    <w:rsid w:val="00364796"/>
    <w:rsid w:val="003701B7"/>
    <w:rsid w:val="003B1EB5"/>
    <w:rsid w:val="00405867"/>
    <w:rsid w:val="00477525"/>
    <w:rsid w:val="00482DD4"/>
    <w:rsid w:val="00496C03"/>
    <w:rsid w:val="004A130D"/>
    <w:rsid w:val="00501693"/>
    <w:rsid w:val="00523CF9"/>
    <w:rsid w:val="00535200"/>
    <w:rsid w:val="005E7F32"/>
    <w:rsid w:val="0064389E"/>
    <w:rsid w:val="00647AB6"/>
    <w:rsid w:val="00651B2A"/>
    <w:rsid w:val="006610D3"/>
    <w:rsid w:val="00686206"/>
    <w:rsid w:val="0068744D"/>
    <w:rsid w:val="006A023E"/>
    <w:rsid w:val="006B3DED"/>
    <w:rsid w:val="006C0A8F"/>
    <w:rsid w:val="006C198A"/>
    <w:rsid w:val="006C4E15"/>
    <w:rsid w:val="006D46B1"/>
    <w:rsid w:val="006E4C80"/>
    <w:rsid w:val="00703ED5"/>
    <w:rsid w:val="00710DD3"/>
    <w:rsid w:val="00731A0F"/>
    <w:rsid w:val="0073587B"/>
    <w:rsid w:val="00790C91"/>
    <w:rsid w:val="007B1C63"/>
    <w:rsid w:val="007C5D1E"/>
    <w:rsid w:val="007D4850"/>
    <w:rsid w:val="007D6C73"/>
    <w:rsid w:val="007E3008"/>
    <w:rsid w:val="007F4A5B"/>
    <w:rsid w:val="008117D3"/>
    <w:rsid w:val="008165B9"/>
    <w:rsid w:val="00822318"/>
    <w:rsid w:val="00825EC0"/>
    <w:rsid w:val="008370F4"/>
    <w:rsid w:val="00852420"/>
    <w:rsid w:val="0085578D"/>
    <w:rsid w:val="00867079"/>
    <w:rsid w:val="008B0FE6"/>
    <w:rsid w:val="008B277E"/>
    <w:rsid w:val="008B62C5"/>
    <w:rsid w:val="008E24A0"/>
    <w:rsid w:val="008E3BB4"/>
    <w:rsid w:val="0093703D"/>
    <w:rsid w:val="0094676E"/>
    <w:rsid w:val="00995193"/>
    <w:rsid w:val="009A43DB"/>
    <w:rsid w:val="009E2DCD"/>
    <w:rsid w:val="00A14CE5"/>
    <w:rsid w:val="00A44BA0"/>
    <w:rsid w:val="00A646E1"/>
    <w:rsid w:val="00A91B74"/>
    <w:rsid w:val="00B30AC3"/>
    <w:rsid w:val="00B413C4"/>
    <w:rsid w:val="00B421BE"/>
    <w:rsid w:val="00BA4BB8"/>
    <w:rsid w:val="00BA7AD5"/>
    <w:rsid w:val="00BE2CFB"/>
    <w:rsid w:val="00C010C4"/>
    <w:rsid w:val="00C17FED"/>
    <w:rsid w:val="00C3286E"/>
    <w:rsid w:val="00C3624D"/>
    <w:rsid w:val="00C50017"/>
    <w:rsid w:val="00C9168E"/>
    <w:rsid w:val="00CA3C47"/>
    <w:rsid w:val="00CA78B4"/>
    <w:rsid w:val="00CE3338"/>
    <w:rsid w:val="00DB72DB"/>
    <w:rsid w:val="00DD2715"/>
    <w:rsid w:val="00DE55DA"/>
    <w:rsid w:val="00DF51D3"/>
    <w:rsid w:val="00DF70E3"/>
    <w:rsid w:val="00E07176"/>
    <w:rsid w:val="00E774EA"/>
    <w:rsid w:val="00EB3FE3"/>
    <w:rsid w:val="00EB7BC1"/>
    <w:rsid w:val="00EC1493"/>
    <w:rsid w:val="00EE47D6"/>
    <w:rsid w:val="00F04F27"/>
    <w:rsid w:val="00F319E1"/>
    <w:rsid w:val="00F51276"/>
    <w:rsid w:val="00F53D92"/>
    <w:rsid w:val="00FA55DF"/>
    <w:rsid w:val="00FD0812"/>
    <w:rsid w:val="00FF33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C4"/>
    <w:rPr>
      <w:rFonts w:ascii="Tahoma" w:hAnsi="Tahoma" w:cs="Tahoma"/>
      <w:sz w:val="16"/>
      <w:szCs w:val="16"/>
    </w:rPr>
  </w:style>
  <w:style w:type="character" w:styleId="PlaceholderText">
    <w:name w:val="Placeholder Text"/>
    <w:basedOn w:val="DefaultParagraphFont"/>
    <w:uiPriority w:val="99"/>
    <w:semiHidden/>
    <w:rsid w:val="00133ED6"/>
    <w:rPr>
      <w:color w:val="808080"/>
    </w:rPr>
  </w:style>
  <w:style w:type="character" w:styleId="Hyperlink">
    <w:name w:val="Hyperlink"/>
    <w:basedOn w:val="DefaultParagraphFont"/>
    <w:uiPriority w:val="99"/>
    <w:unhideWhenUsed/>
    <w:rsid w:val="00DD2715"/>
    <w:rPr>
      <w:color w:val="0000FF" w:themeColor="hyperlink"/>
      <w:u w:val="single"/>
    </w:rPr>
  </w:style>
  <w:style w:type="character" w:styleId="FollowedHyperlink">
    <w:name w:val="FollowedHyperlink"/>
    <w:basedOn w:val="DefaultParagraphFont"/>
    <w:uiPriority w:val="99"/>
    <w:semiHidden/>
    <w:unhideWhenUsed/>
    <w:rsid w:val="006E4C80"/>
    <w:rPr>
      <w:color w:val="800080" w:themeColor="followedHyperlink"/>
      <w:u w:val="single"/>
    </w:rPr>
  </w:style>
  <w:style w:type="character" w:styleId="CommentReference">
    <w:name w:val="annotation reference"/>
    <w:basedOn w:val="DefaultParagraphFont"/>
    <w:uiPriority w:val="99"/>
    <w:semiHidden/>
    <w:unhideWhenUsed/>
    <w:rsid w:val="00A646E1"/>
    <w:rPr>
      <w:sz w:val="16"/>
      <w:szCs w:val="16"/>
    </w:rPr>
  </w:style>
  <w:style w:type="paragraph" w:styleId="CommentText">
    <w:name w:val="annotation text"/>
    <w:basedOn w:val="Normal"/>
    <w:link w:val="CommentTextChar"/>
    <w:uiPriority w:val="99"/>
    <w:semiHidden/>
    <w:unhideWhenUsed/>
    <w:rsid w:val="00A646E1"/>
    <w:pPr>
      <w:spacing w:line="240" w:lineRule="auto"/>
    </w:pPr>
    <w:rPr>
      <w:sz w:val="20"/>
      <w:szCs w:val="20"/>
    </w:rPr>
  </w:style>
  <w:style w:type="character" w:customStyle="1" w:styleId="CommentTextChar">
    <w:name w:val="Comment Text Char"/>
    <w:basedOn w:val="DefaultParagraphFont"/>
    <w:link w:val="CommentText"/>
    <w:uiPriority w:val="99"/>
    <w:semiHidden/>
    <w:rsid w:val="00A646E1"/>
    <w:rPr>
      <w:sz w:val="20"/>
      <w:szCs w:val="20"/>
    </w:rPr>
  </w:style>
  <w:style w:type="paragraph" w:styleId="CommentSubject">
    <w:name w:val="annotation subject"/>
    <w:basedOn w:val="CommentText"/>
    <w:next w:val="CommentText"/>
    <w:link w:val="CommentSubjectChar"/>
    <w:uiPriority w:val="99"/>
    <w:semiHidden/>
    <w:unhideWhenUsed/>
    <w:rsid w:val="00A646E1"/>
    <w:rPr>
      <w:b/>
      <w:bCs/>
    </w:rPr>
  </w:style>
  <w:style w:type="character" w:customStyle="1" w:styleId="CommentSubjectChar">
    <w:name w:val="Comment Subject Char"/>
    <w:basedOn w:val="CommentTextChar"/>
    <w:link w:val="CommentSubject"/>
    <w:uiPriority w:val="99"/>
    <w:semiHidden/>
    <w:rsid w:val="00A646E1"/>
    <w:rPr>
      <w:b/>
      <w:bCs/>
      <w:sz w:val="20"/>
      <w:szCs w:val="20"/>
    </w:rPr>
  </w:style>
  <w:style w:type="character" w:customStyle="1" w:styleId="apple-converted-space">
    <w:name w:val="apple-converted-space"/>
    <w:basedOn w:val="DefaultParagraphFont"/>
    <w:rsid w:val="00995193"/>
  </w:style>
  <w:style w:type="paragraph" w:styleId="Header">
    <w:name w:val="header"/>
    <w:basedOn w:val="Normal"/>
    <w:link w:val="HeaderChar"/>
    <w:uiPriority w:val="99"/>
    <w:unhideWhenUsed/>
    <w:rsid w:val="00F04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F27"/>
  </w:style>
  <w:style w:type="paragraph" w:styleId="Footer">
    <w:name w:val="footer"/>
    <w:basedOn w:val="Normal"/>
    <w:link w:val="FooterChar"/>
    <w:uiPriority w:val="99"/>
    <w:unhideWhenUsed/>
    <w:rsid w:val="00F04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si.org.au/teacher_modules/Real_numbers.html" TargetMode="External"/><Relationship Id="rId18" Type="http://schemas.openxmlformats.org/officeDocument/2006/relationships/hyperlink" Target="http://www.australiancurriculum.edu.au/mathematics/curriculum/f-10?y=10A&amp;s=NA&amp;layout=1" TargetMode="External"/><Relationship Id="rId26" Type="http://schemas.openxmlformats.org/officeDocument/2006/relationships/hyperlink" Target="http://www.amsi.org.au/teacher_modules/Quadratic_Function.html" TargetMode="External"/><Relationship Id="rId39" Type="http://schemas.openxmlformats.org/officeDocument/2006/relationships/hyperlink" Target="http://www.australiancurriculum.edu.au/mathematics/curriculum/f-10?y=10A&amp;s=SP&amp;layout=1" TargetMode="External"/><Relationship Id="rId21" Type="http://schemas.openxmlformats.org/officeDocument/2006/relationships/hyperlink" Target="http://www.australiancurriculum.edu.au/mathematics/curriculum/f-10?y=10A&amp;s=NA&amp;layout=1" TargetMode="External"/><Relationship Id="rId34" Type="http://schemas.openxmlformats.org/officeDocument/2006/relationships/hyperlink" Target="http://amsi.org.au/teacher_modules/The_trigonometry_functions.html" TargetMode="External"/><Relationship Id="rId42" Type="http://schemas.openxmlformats.org/officeDocument/2006/relationships/hyperlink" Target="file:///D:\Users\mconnor\Documents\Resources\AMSI%20School%20Program%20Implementation\AMSI%20Teacher%20Journal%20Master\2015%20Audit%20Docs\Proficiency%20Summaries\Understanding%20Statements%20and%20Keywords.docx" TargetMode="External"/><Relationship Id="rId47" Type="http://schemas.openxmlformats.org/officeDocument/2006/relationships/fontTable" Target="fontTable.xml"/><Relationship Id="rId7" Type="http://schemas.openxmlformats.org/officeDocument/2006/relationships/hyperlink" Target="http://www.calculate.org.au/" TargetMode="External"/><Relationship Id="rId2" Type="http://schemas.microsoft.com/office/2007/relationships/stylesWithEffects" Target="stylesWithEffects.xml"/><Relationship Id="rId16" Type="http://schemas.openxmlformats.org/officeDocument/2006/relationships/hyperlink" Target="http://www.australiancurriculum.edu.au/mathematics/curriculum/f-10?y=10A&amp;s=NA&amp;layout=1" TargetMode="External"/><Relationship Id="rId29" Type="http://schemas.openxmlformats.org/officeDocument/2006/relationships/hyperlink" Target="http://www.australiancurriculum.edu.au/mathematics/curriculum/f-10?y=10A&amp;s=MG&amp;layout=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ustraliancurriculum.edu.au/mathematics/curriculum/f-10?y=10A&amp;s=NA&amp;layout=1" TargetMode="External"/><Relationship Id="rId24" Type="http://schemas.openxmlformats.org/officeDocument/2006/relationships/hyperlink" Target="http://www.amsi.org.au/teacher_modules/Factorisation.html" TargetMode="External"/><Relationship Id="rId32" Type="http://schemas.openxmlformats.org/officeDocument/2006/relationships/hyperlink" Target="http://www.amsi.org.au/teacher_modules/further_trigonometry.html" TargetMode="External"/><Relationship Id="rId37" Type="http://schemas.openxmlformats.org/officeDocument/2006/relationships/hyperlink" Target="http://www.australiancurriculum.edu.au/mathematics/curriculum/f-10?y=10A&amp;s=MG&amp;layout=1" TargetMode="External"/><Relationship Id="rId40" Type="http://schemas.openxmlformats.org/officeDocument/2006/relationships/hyperlink" Target="http://www.australiancurriculum.edu.au/mathematics/curriculum/f-10?y=10A&amp;s=SP&amp;layout=1" TargetMode="External"/><Relationship Id="rId45" Type="http://schemas.openxmlformats.org/officeDocument/2006/relationships/hyperlink" Target="file:///D:\Users\mconnor\Documents\Resources\AMSI%20School%20Program%20Implementation\AMSI%20Teacher%20Journal%20Master\2015%20Audit%20Docs\Proficiency%20Summaries\Reasoning%20Statements%20and%20Keywords.docx" TargetMode="External"/><Relationship Id="rId5" Type="http://schemas.openxmlformats.org/officeDocument/2006/relationships/footnotes" Target="footnotes.xml"/><Relationship Id="rId15" Type="http://schemas.openxmlformats.org/officeDocument/2006/relationships/hyperlink" Target="http://www.australiancurriculum.edu.au/mathematics/curriculum/f-10?y=10A&amp;s=NA&amp;layout=1" TargetMode="External"/><Relationship Id="rId23" Type="http://schemas.openxmlformats.org/officeDocument/2006/relationships/hyperlink" Target="http://www.australiancurriculum.edu.au/mathematics/curriculum/f-10?y=10A&amp;s=NA&amp;layout=1" TargetMode="External"/><Relationship Id="rId28" Type="http://schemas.openxmlformats.org/officeDocument/2006/relationships/hyperlink" Target="http://www.amsi.org.au/teacher_modules/Cones_Pyramids_and_Spheres.html" TargetMode="External"/><Relationship Id="rId36" Type="http://schemas.openxmlformats.org/officeDocument/2006/relationships/hyperlink" Target="http://amsi.org.au/teacher_modules/The_trigonometry_functions.html" TargetMode="External"/><Relationship Id="rId10" Type="http://schemas.openxmlformats.org/officeDocument/2006/relationships/image" Target="media/image2.jpg"/><Relationship Id="rId19" Type="http://schemas.openxmlformats.org/officeDocument/2006/relationships/hyperlink" Target="http://www.australiancurriculum.edu.au/mathematics/curriculum/f-10?y=10A&amp;s=NA&amp;layout=1" TargetMode="External"/><Relationship Id="rId31" Type="http://schemas.openxmlformats.org/officeDocument/2006/relationships/hyperlink" Target="http://www.australiancurriculum.edu.au/mathematics/curriculum/f-10?y=10A&amp;s=MG&amp;layout=1" TargetMode="External"/><Relationship Id="rId44" Type="http://schemas.openxmlformats.org/officeDocument/2006/relationships/hyperlink" Target="file:///D:\Users\mconnor\Documents\Resources\AMSI%20School%20Program%20Implementation\AMSI%20Teacher%20Journal%20Master\2015%20Audit%20Docs\Proficiency%20Summaries\Problem%20Solving%20Statements%20and%20Keywords.docx" TargetMode="External"/><Relationship Id="rId4" Type="http://schemas.openxmlformats.org/officeDocument/2006/relationships/webSettings" Target="webSettings.xml"/><Relationship Id="rId9" Type="http://schemas.openxmlformats.org/officeDocument/2006/relationships/hyperlink" Target="http://www.amsi.org.au" TargetMode="External"/><Relationship Id="rId14" Type="http://schemas.openxmlformats.org/officeDocument/2006/relationships/hyperlink" Target="http://www.amsi.org.au/teacher_modules/Indices_and_logarithms.html" TargetMode="External"/><Relationship Id="rId22" Type="http://schemas.openxmlformats.org/officeDocument/2006/relationships/hyperlink" Target="http://www.amsi.org.au/teacher_modules/polynomials.html" TargetMode="External"/><Relationship Id="rId27" Type="http://schemas.openxmlformats.org/officeDocument/2006/relationships/hyperlink" Target="http://www.australiancurriculum.edu.au/mathematics/curriculum/f-10?y=10A&amp;s=MG&amp;layout=1" TargetMode="External"/><Relationship Id="rId30" Type="http://schemas.openxmlformats.org/officeDocument/2006/relationships/hyperlink" Target="http://www.amsi.org.au/teacher_modules/Circle_Geometry.html" TargetMode="External"/><Relationship Id="rId35" Type="http://schemas.openxmlformats.org/officeDocument/2006/relationships/hyperlink" Target="http://www.australiancurriculum.edu.au/mathematics/curriculum/f-10?y=10A&amp;s=MG&amp;layout=1" TargetMode="External"/><Relationship Id="rId43" Type="http://schemas.openxmlformats.org/officeDocument/2006/relationships/hyperlink" Target="file:///D:\Users\mconnor\Documents\Resources\AMSI%20School%20Program%20Implementation\AMSI%20Teacher%20Journal%20Master\2015%20Audit%20Docs\Proficiency%20Summaries\Fluency%20Statements%20and%20Keywords.docx" TargetMode="External"/><Relationship Id="rId48" Type="http://schemas.openxmlformats.org/officeDocument/2006/relationships/theme" Target="theme/theme1.xml"/><Relationship Id="rId8"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hyperlink" Target="http://www.amsi.org.au/teacher_modules/Surds.html" TargetMode="External"/><Relationship Id="rId17" Type="http://schemas.openxmlformats.org/officeDocument/2006/relationships/hyperlink" Target="http://www.amsi.org.au/teacher_modules/polynomials.html" TargetMode="External"/><Relationship Id="rId25" Type="http://schemas.openxmlformats.org/officeDocument/2006/relationships/hyperlink" Target="http://www.amsi.org.au/teacher_modules/Quadratic_Equations.html" TargetMode="External"/><Relationship Id="rId33" Type="http://schemas.openxmlformats.org/officeDocument/2006/relationships/hyperlink" Target="http://www.australiancurriculum.edu.au/mathematics/curriculum/f-10?y=10A&amp;s=MG&amp;layout=1" TargetMode="External"/><Relationship Id="rId38" Type="http://schemas.openxmlformats.org/officeDocument/2006/relationships/hyperlink" Target="http://www.amsi.org.au/teacher_modules/further_trigonometry.html" TargetMode="External"/><Relationship Id="rId46" Type="http://schemas.openxmlformats.org/officeDocument/2006/relationships/footer" Target="footer1.xml"/><Relationship Id="rId20" Type="http://schemas.openxmlformats.org/officeDocument/2006/relationships/hyperlink" Target="http://www.amsi.org.au/teacher_modules/Quadratic_Function.html" TargetMode="External"/><Relationship Id="rId41" Type="http://schemas.openxmlformats.org/officeDocument/2006/relationships/hyperlink" Target="http://www.australiancurriculum.edu.au/mathematics/curriculum/f-10?y=10A&amp;s=SP&amp;layou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Melbourne</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Michael O'Connor</cp:lastModifiedBy>
  <cp:revision>9</cp:revision>
  <dcterms:created xsi:type="dcterms:W3CDTF">2014-11-23T23:18:00Z</dcterms:created>
  <dcterms:modified xsi:type="dcterms:W3CDTF">2015-11-18T22:22:00Z</dcterms:modified>
</cp:coreProperties>
</file>